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rial" w:hAnsi="Arial"/>
          <w:b/>
          <w:color w:val="EC0044"/>
          <w:sz w:val="17"/>
        </w:rPr>
        <w:t>BUILT BY BRIDGE  |  FACT SHEET</w:t>
      </w:r>
    </w:p>
    <w:p>
      <w:pPr>
        <w:pStyle w:val="Title"/>
        <w:keepNext/>
      </w:pPr>
      <w:r>
        <w:t>SAFE-SEEN Fact Sheet</w:t>
      </w:r>
    </w:p>
    <w:p>
      <w:pPr>
        <w:spacing w:after="200"/>
      </w:pPr>
      <w:r>
        <w:rPr>
          <w:rFonts w:ascii="Georgia" w:hAnsi="Georgia"/>
          <w:i/>
          <w:color w:val="00758D"/>
          <w:sz w:val="26"/>
        </w:rPr>
        <w:t>A human-centred framework for feedback that builds trust</w:t>
      </w:r>
    </w:p>
    <w:p>
      <w:pPr>
        <w:spacing w:after="180"/>
      </w:pPr>
      <w:r>
        <w:rPr>
          <w:sz w:val="23"/>
        </w:rPr>
        <w:t>SAFE-SEEN helps leaders create the conditions in which feedback can actually be received. It begins before the message, asking whether the person feels safe enough to stay present, and then guides a conversation built around clarity, curiosity, shared ownership and follow-through.</w:t>
      </w:r>
    </w:p>
    <w:p>
      <w:pPr>
        <w:pStyle w:val="Heading1"/>
        <w:keepNext/>
      </w:pPr>
      <w:r>
        <w:t>Why SAFE-SEEN matters</w:t>
      </w:r>
    </w:p>
    <w:p>
      <w:pPr>
        <w:spacing w:after="100"/>
      </w:pPr>
      <w:r>
        <w:rPr>
          <w:sz w:val="21"/>
        </w:rPr>
        <w:t>Feedback can be carefully prepared and genuinely well intended, yet still be experienced as judgement, exposure or threat. The response may be defensiveness, silence, over-explanation, quick agreement or withdrawal afterwards. SAFE-SEEN helps leaders look beyond surface behaviour and consider the wider conditions shaping how the conversation lands.</w:t>
      </w:r>
    </w:p>
    <w:p>
      <w:pPr>
        <w:spacing w:after="140"/>
      </w:pPr>
      <w:r>
        <w:rPr>
          <w:sz w:val="21"/>
        </w:rPr>
        <w:t>The approach is informed by the psychology of rejection sensitivity and RSD, which is widely discussed in relation to ADHD and neurodivergence. It is not a diagnostic tool and does not ask leaders to become therapists. It gives them a practical way to slow down, become more curious and lead feedback conversations with greater awareness.</w:t>
      </w:r>
    </w:p>
    <w:p>
      <w:pPr>
        <w:pStyle w:val="Heading1"/>
        <w:keepNext/>
      </w:pPr>
      <w:r>
        <w:t>The two connected layers</w:t>
      </w:r>
    </w:p>
    <w:p>
      <w:pPr>
        <w:spacing w:after="120"/>
      </w:pPr>
      <w:r>
        <w:rPr>
          <w:sz w:val="20"/>
        </w:rPr>
        <w:t>SAFE checks the conditions before the conversation begins. SEEN guides the conversation towards understanding, shared action and genuine follow-through.</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734"/>
        <w:gridCol w:w="4734"/>
      </w:tblGrid>
      <w:tr>
        <w:trPr>
          <w:cantSplit/>
        </w:trPr>
        <w:tc>
          <w:tcPr>
            <w:tcW w:type="dxa" w:w="4734"/>
            <w:shd w:fill="FFEB00"/>
            <w:tcMar>
              <w:top w:w="120" w:type="dxa"/>
              <w:start w:w="190" w:type="dxa"/>
              <w:bottom w:w="115" w:type="dxa"/>
              <w:end w:w="190" w:type="dxa"/>
            </w:tcMar>
          </w:tcPr>
          <w:p>
            <w:pPr>
              <w:spacing w:after="20"/>
            </w:pPr>
            <w:r>
              <w:rPr>
                <w:b/>
                <w:color w:val="26215F"/>
                <w:sz w:val="30"/>
              </w:rPr>
              <w:t>SAFE</w:t>
            </w:r>
          </w:p>
          <w:p>
            <w:pPr>
              <w:spacing w:after="0"/>
            </w:pPr>
            <w:r>
              <w:rPr>
                <w:b/>
                <w:color w:val="26215F"/>
                <w:sz w:val="18"/>
              </w:rPr>
              <w:t>The conditions check</w:t>
            </w:r>
          </w:p>
        </w:tc>
        <w:tc>
          <w:tcPr>
            <w:tcW w:type="dxa" w:w="4734"/>
            <w:shd w:fill="EC0044"/>
            <w:tcMar>
              <w:top w:w="120" w:type="dxa"/>
              <w:start w:w="190" w:type="dxa"/>
              <w:bottom w:w="115" w:type="dxa"/>
              <w:end w:w="190" w:type="dxa"/>
            </w:tcMar>
          </w:tcPr>
          <w:p>
            <w:pPr>
              <w:spacing w:after="20"/>
            </w:pPr>
            <w:r>
              <w:rPr>
                <w:b/>
                <w:color w:val="FFFFFF"/>
                <w:sz w:val="30"/>
              </w:rPr>
              <w:t>SEEN</w:t>
            </w:r>
          </w:p>
          <w:p>
            <w:pPr>
              <w:spacing w:after="0"/>
            </w:pPr>
            <w:r>
              <w:rPr>
                <w:b/>
                <w:color w:val="FFFFFF"/>
                <w:sz w:val="18"/>
              </w:rPr>
              <w:t>The conversation</w:t>
            </w:r>
          </w:p>
        </w:tc>
      </w:tr>
      <w:tr>
        <w:trPr>
          <w:cantSplit/>
        </w:trPr>
        <w:tc>
          <w:tcPr>
            <w:tcW w:type="dxa" w:w="4734"/>
            <w:shd w:fill="FFFFFF"/>
            <w:tcMar>
              <w:top w:w="100" w:type="dxa"/>
              <w:start w:w="190" w:type="dxa"/>
              <w:bottom w:w="100" w:type="dxa"/>
              <w:end w:w="190" w:type="dxa"/>
            </w:tcMar>
          </w:tcPr>
          <w:p>
            <w:pPr>
              <w:spacing w:after="20"/>
            </w:pPr>
            <w:r>
              <w:rPr>
                <w:b/>
                <w:color w:val="00758D"/>
                <w:sz w:val="20"/>
              </w:rPr>
              <w:t>Setting</w:t>
            </w:r>
          </w:p>
          <w:p>
            <w:pPr>
              <w:spacing w:after="0"/>
            </w:pPr>
            <w:r>
              <w:rPr>
                <w:sz w:val="19"/>
              </w:rPr>
              <w:t>Right time, right place, right moment</w:t>
            </w:r>
          </w:p>
        </w:tc>
        <w:tc>
          <w:tcPr>
            <w:tcW w:type="dxa" w:w="4734"/>
            <w:shd w:fill="FFFFFF"/>
            <w:tcMar>
              <w:top w:w="100" w:type="dxa"/>
              <w:start w:w="190" w:type="dxa"/>
              <w:bottom w:w="100" w:type="dxa"/>
              <w:end w:w="190" w:type="dxa"/>
            </w:tcMar>
          </w:tcPr>
          <w:p>
            <w:pPr>
              <w:spacing w:after="20"/>
            </w:pPr>
            <w:r>
              <w:rPr>
                <w:b/>
                <w:color w:val="EC0044"/>
                <w:sz w:val="20"/>
              </w:rPr>
              <w:t>Specific</w:t>
            </w:r>
          </w:p>
          <w:p>
            <w:pPr>
              <w:spacing w:after="0"/>
            </w:pPr>
            <w:r>
              <w:rPr>
                <w:sz w:val="19"/>
              </w:rPr>
              <w:t>Name the behaviour or situation clearly</w:t>
            </w:r>
          </w:p>
        </w:tc>
      </w:tr>
      <w:tr>
        <w:trPr>
          <w:cantSplit/>
        </w:trPr>
        <w:tc>
          <w:tcPr>
            <w:tcW w:type="dxa" w:w="4734"/>
            <w:shd w:fill="F5F7F8"/>
            <w:tcMar>
              <w:top w:w="100" w:type="dxa"/>
              <w:start w:w="190" w:type="dxa"/>
              <w:bottom w:w="100" w:type="dxa"/>
              <w:end w:w="190" w:type="dxa"/>
            </w:tcMar>
          </w:tcPr>
          <w:p>
            <w:pPr>
              <w:spacing w:after="20"/>
            </w:pPr>
            <w:r>
              <w:rPr>
                <w:b/>
                <w:color w:val="00758D"/>
                <w:sz w:val="20"/>
              </w:rPr>
              <w:t>Attachment</w:t>
            </w:r>
          </w:p>
          <w:p>
            <w:pPr>
              <w:spacing w:after="0"/>
            </w:pPr>
            <w:r>
              <w:rPr>
                <w:sz w:val="19"/>
              </w:rPr>
              <w:t>Trust, relationship and belief</w:t>
            </w:r>
          </w:p>
        </w:tc>
        <w:tc>
          <w:tcPr>
            <w:tcW w:type="dxa" w:w="4734"/>
            <w:shd w:fill="F5F7F8"/>
            <w:tcMar>
              <w:top w:w="100" w:type="dxa"/>
              <w:start w:w="190" w:type="dxa"/>
              <w:bottom w:w="100" w:type="dxa"/>
              <w:end w:w="190" w:type="dxa"/>
            </w:tcMar>
          </w:tcPr>
          <w:p>
            <w:pPr>
              <w:spacing w:after="20"/>
            </w:pPr>
            <w:r>
              <w:rPr>
                <w:b/>
                <w:color w:val="EC0044"/>
                <w:sz w:val="20"/>
              </w:rPr>
              <w:t>Explore</w:t>
            </w:r>
          </w:p>
          <w:p>
            <w:pPr>
              <w:spacing w:after="0"/>
            </w:pPr>
            <w:r>
              <w:rPr>
                <w:sz w:val="19"/>
              </w:rPr>
              <w:t>Listen to their perspective with curiosity</w:t>
            </w:r>
          </w:p>
        </w:tc>
      </w:tr>
      <w:tr>
        <w:trPr>
          <w:cantSplit/>
        </w:trPr>
        <w:tc>
          <w:tcPr>
            <w:tcW w:type="dxa" w:w="4734"/>
            <w:shd w:fill="FFFFFF"/>
            <w:tcMar>
              <w:top w:w="100" w:type="dxa"/>
              <w:start w:w="190" w:type="dxa"/>
              <w:bottom w:w="100" w:type="dxa"/>
              <w:end w:w="190" w:type="dxa"/>
            </w:tcMar>
          </w:tcPr>
          <w:p>
            <w:pPr>
              <w:spacing w:after="20"/>
            </w:pPr>
            <w:r>
              <w:rPr>
                <w:b/>
                <w:color w:val="00758D"/>
                <w:sz w:val="20"/>
              </w:rPr>
              <w:t>Framing</w:t>
            </w:r>
          </w:p>
          <w:p>
            <w:pPr>
              <w:spacing w:after="0"/>
            </w:pPr>
            <w:r>
              <w:rPr>
                <w:sz w:val="19"/>
              </w:rPr>
              <w:t>Make the leader's intention visible</w:t>
            </w:r>
          </w:p>
        </w:tc>
        <w:tc>
          <w:tcPr>
            <w:tcW w:type="dxa" w:w="4734"/>
            <w:shd w:fill="FFFFFF"/>
            <w:tcMar>
              <w:top w:w="100" w:type="dxa"/>
              <w:start w:w="190" w:type="dxa"/>
              <w:bottom w:w="100" w:type="dxa"/>
              <w:end w:w="190" w:type="dxa"/>
            </w:tcMar>
          </w:tcPr>
          <w:p>
            <w:pPr>
              <w:spacing w:after="20"/>
            </w:pPr>
            <w:r>
              <w:rPr>
                <w:b/>
                <w:color w:val="EC0044"/>
                <w:sz w:val="20"/>
              </w:rPr>
              <w:t>Empower</w:t>
            </w:r>
          </w:p>
          <w:p>
            <w:pPr>
              <w:spacing w:after="0"/>
            </w:pPr>
            <w:r>
              <w:rPr>
                <w:sz w:val="19"/>
              </w:rPr>
              <w:t>Develop solutions and actions together</w:t>
            </w:r>
          </w:p>
        </w:tc>
      </w:tr>
      <w:tr>
        <w:trPr>
          <w:cantSplit/>
        </w:trPr>
        <w:tc>
          <w:tcPr>
            <w:tcW w:type="dxa" w:w="4734"/>
            <w:shd w:fill="F5F7F8"/>
            <w:tcMar>
              <w:top w:w="100" w:type="dxa"/>
              <w:start w:w="190" w:type="dxa"/>
              <w:bottom w:w="100" w:type="dxa"/>
              <w:end w:w="190" w:type="dxa"/>
            </w:tcMar>
          </w:tcPr>
          <w:p>
            <w:pPr>
              <w:spacing w:after="20"/>
            </w:pPr>
            <w:r>
              <w:rPr>
                <w:b/>
                <w:color w:val="00758D"/>
                <w:sz w:val="20"/>
              </w:rPr>
              <w:t>Emotional State</w:t>
            </w:r>
          </w:p>
          <w:p>
            <w:pPr>
              <w:spacing w:after="0"/>
            </w:pPr>
            <w:r>
              <w:rPr>
                <w:sz w:val="19"/>
              </w:rPr>
              <w:t>Both people regulated enough to engage</w:t>
            </w:r>
          </w:p>
        </w:tc>
        <w:tc>
          <w:tcPr>
            <w:tcW w:type="dxa" w:w="4734"/>
            <w:shd w:fill="F5F7F8"/>
            <w:tcMar>
              <w:top w:w="100" w:type="dxa"/>
              <w:start w:w="190" w:type="dxa"/>
              <w:bottom w:w="100" w:type="dxa"/>
              <w:end w:w="190" w:type="dxa"/>
            </w:tcMar>
          </w:tcPr>
          <w:p>
            <w:pPr>
              <w:spacing w:after="20"/>
            </w:pPr>
            <w:r>
              <w:rPr>
                <w:b/>
                <w:color w:val="EC0044"/>
                <w:sz w:val="20"/>
              </w:rPr>
              <w:t>Next</w:t>
            </w:r>
          </w:p>
          <w:p>
            <w:pPr>
              <w:spacing w:after="0"/>
            </w:pPr>
            <w:r>
              <w:rPr>
                <w:sz w:val="19"/>
              </w:rPr>
              <w:t>Agree the next step and follow through</w:t>
            </w:r>
          </w:p>
        </w:tc>
      </w:tr>
    </w:tbl>
    <w:p>
      <w:pPr>
        <w:spacing w:after="0"/>
      </w:pP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3213"/>
        <w:gridCol w:w="3213"/>
        <w:gridCol w:w="3213"/>
      </w:tblGrid>
      <w:tr>
        <w:trPr>
          <w:cantSplit/>
        </w:trPr>
        <w:tc>
          <w:tcPr>
            <w:tcW w:type="dxa" w:w="3158"/>
            <w:shd w:fill="FFFAD1"/>
            <w:tcMar>
              <w:top w:w="100" w:type="dxa"/>
              <w:start w:w="100" w:type="dxa"/>
              <w:bottom w:w="100" w:type="dxa"/>
              <w:end w:w="100" w:type="dxa"/>
            </w:tcMar>
            <w:vAlign w:val="center"/>
          </w:tcPr>
          <w:p>
            <w:pPr>
              <w:jc w:val="center"/>
            </w:pPr>
            <w:r>
              <w:rPr>
                <w:b/>
                <w:color w:val="26215F"/>
                <w:sz w:val="18"/>
              </w:rPr>
              <w:t>Safety before performance</w:t>
            </w:r>
          </w:p>
        </w:tc>
        <w:tc>
          <w:tcPr>
            <w:tcW w:type="dxa" w:w="3158"/>
            <w:shd w:fill="E7F7FA"/>
            <w:tcMar>
              <w:top w:w="100" w:type="dxa"/>
              <w:start w:w="100" w:type="dxa"/>
              <w:bottom w:w="100" w:type="dxa"/>
              <w:end w:w="100" w:type="dxa"/>
            </w:tcMar>
            <w:vAlign w:val="center"/>
          </w:tcPr>
          <w:p>
            <w:pPr>
              <w:jc w:val="center"/>
            </w:pPr>
            <w:r>
              <w:rPr>
                <w:b/>
                <w:color w:val="00758D"/>
                <w:sz w:val="18"/>
              </w:rPr>
              <w:t>Connection before correction</w:t>
            </w:r>
          </w:p>
        </w:tc>
        <w:tc>
          <w:tcPr>
            <w:tcW w:type="dxa" w:w="3158"/>
            <w:shd w:fill="FDEAF0"/>
            <w:tcMar>
              <w:top w:w="100" w:type="dxa"/>
              <w:start w:w="100" w:type="dxa"/>
              <w:bottom w:w="100" w:type="dxa"/>
              <w:end w:w="100" w:type="dxa"/>
            </w:tcMar>
            <w:vAlign w:val="center"/>
          </w:tcPr>
          <w:p>
            <w:pPr>
              <w:jc w:val="center"/>
            </w:pPr>
            <w:r>
              <w:rPr>
                <w:b/>
                <w:color w:val="EC0044"/>
                <w:sz w:val="18"/>
              </w:rPr>
              <w:t>Growth through understanding</w:t>
            </w:r>
          </w:p>
        </w:tc>
      </w:tr>
    </w:tbl>
    <w:p>
      <w:pPr>
        <w:pStyle w:val="Heading1"/>
        <w:keepNext/>
      </w:pPr>
      <w:r>
        <w:t>Who it is for</w:t>
      </w:r>
    </w:p>
    <w:p>
      <w:pPr>
        <w:spacing w:after="0"/>
      </w:pPr>
      <w:r>
        <w:rPr>
          <w:sz w:val="20"/>
        </w:rPr>
        <w:t>SAFE-SEEN can support senior teams, people managers, HR and organisational development teams, coaches, mentors and internal facilitators. It is especially relevant for organisations strengthening psychological safety, feedback culture or understanding of neurodivergent experience.</w:t>
      </w:r>
    </w:p>
    <w:p>
      <w:r>
        <w:br w:type="page"/>
      </w:r>
    </w:p>
    <w:p>
      <w:pPr>
        <w:spacing w:after="80"/>
      </w:pPr>
      <w:r>
        <w:rPr>
          <w:rFonts w:ascii="Arial" w:hAnsi="Arial"/>
          <w:b/>
          <w:color w:val="00758D"/>
          <w:sz w:val="17"/>
        </w:rPr>
        <w:t>FROM UNDERSTANDING TO EVERYDAY PRACTICE</w:t>
      </w:r>
    </w:p>
    <w:p>
      <w:pPr>
        <w:pStyle w:val="Heading1"/>
        <w:keepNext/>
      </w:pPr>
      <w:r>
        <w:t>How Bridge brings SAFE-SEEN to life</w:t>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79"/>
        <w:gridCol w:w="8589"/>
      </w:tblGrid>
      <w:tr>
        <w:trPr>
          <w:cantSplit/>
        </w:trPr>
        <w:tc>
          <w:tcPr>
            <w:tcW w:type="dxa" w:w="4819"/>
            <w:tcMar>
              <w:top w:w="20" w:type="dxa"/>
              <w:start w:w="40" w:type="dxa"/>
              <w:bottom w:w="25" w:type="dxa"/>
              <w:end w:w="80" w:type="dxa"/>
            </w:tcMar>
            <w:vAlign w:val="center"/>
          </w:tcPr>
          <w:p>
            <w:r>
              <w:rPr>
                <w:b/>
                <w:color w:val="EC0044"/>
                <w:sz w:val="38"/>
              </w:rPr>
              <w:t>01</w:t>
            </w:r>
          </w:p>
        </w:tc>
        <w:tc>
          <w:tcPr>
            <w:tcW w:type="dxa" w:w="4819"/>
            <w:tcMar>
              <w:top w:w="20" w:type="dxa"/>
              <w:start w:w="40" w:type="dxa"/>
              <w:bottom w:w="25" w:type="dxa"/>
              <w:end w:w="80" w:type="dxa"/>
            </w:tcMar>
            <w:vAlign w:val="center"/>
          </w:tcPr>
          <w:p>
            <w:pPr>
              <w:spacing w:after="40"/>
            </w:pPr>
            <w:r>
              <w:rPr>
                <w:b/>
                <w:sz w:val="23"/>
              </w:rPr>
              <w:t>Lead it</w:t>
            </w:r>
          </w:p>
          <w:p>
            <w:pPr>
              <w:spacing w:after="0"/>
            </w:pPr>
            <w:r>
              <w:rPr>
                <w:sz w:val="20"/>
              </w:rPr>
              <w:t>Build understanding of rejection sensitivity, perceived threat and the two connected layers of the model.</w:t>
            </w:r>
          </w:p>
        </w:tc>
      </w:tr>
    </w:tbl>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79"/>
        <w:gridCol w:w="8589"/>
      </w:tblGrid>
      <w:tr>
        <w:trPr>
          <w:cantSplit/>
        </w:trPr>
        <w:tc>
          <w:tcPr>
            <w:tcW w:type="dxa" w:w="4819"/>
            <w:tcMar>
              <w:top w:w="20" w:type="dxa"/>
              <w:start w:w="40" w:type="dxa"/>
              <w:bottom w:w="25" w:type="dxa"/>
              <w:end w:w="80" w:type="dxa"/>
            </w:tcMar>
            <w:vAlign w:val="center"/>
          </w:tcPr>
          <w:p>
            <w:r>
              <w:rPr>
                <w:b/>
                <w:color w:val="00ACC8"/>
                <w:sz w:val="38"/>
              </w:rPr>
              <w:t>02</w:t>
            </w:r>
          </w:p>
        </w:tc>
        <w:tc>
          <w:tcPr>
            <w:tcW w:type="dxa" w:w="4819"/>
            <w:tcMar>
              <w:top w:w="20" w:type="dxa"/>
              <w:start w:w="40" w:type="dxa"/>
              <w:bottom w:w="25" w:type="dxa"/>
              <w:end w:w="80" w:type="dxa"/>
            </w:tcMar>
            <w:vAlign w:val="center"/>
          </w:tcPr>
          <w:p>
            <w:pPr>
              <w:spacing w:after="40"/>
            </w:pPr>
            <w:r>
              <w:rPr>
                <w:b/>
                <w:sz w:val="23"/>
              </w:rPr>
              <w:t>Live it</w:t>
            </w:r>
          </w:p>
          <w:p>
            <w:pPr>
              <w:spacing w:after="0"/>
            </w:pPr>
            <w:r>
              <w:rPr>
                <w:sz w:val="20"/>
              </w:rPr>
              <w:t>Practise with relevant scenarios and use the conditions check, conversation planner and leadership guidance.</w:t>
            </w:r>
          </w:p>
        </w:tc>
      </w:tr>
    </w:tbl>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879"/>
        <w:gridCol w:w="8589"/>
      </w:tblGrid>
      <w:tr>
        <w:trPr>
          <w:cantSplit/>
        </w:trPr>
        <w:tc>
          <w:tcPr>
            <w:tcW w:type="dxa" w:w="4819"/>
            <w:tcMar>
              <w:top w:w="20" w:type="dxa"/>
              <w:start w:w="40" w:type="dxa"/>
              <w:bottom w:w="25" w:type="dxa"/>
              <w:end w:w="80" w:type="dxa"/>
            </w:tcMar>
            <w:vAlign w:val="center"/>
          </w:tcPr>
          <w:p>
            <w:r>
              <w:rPr>
                <w:b/>
                <w:color w:val="26215F"/>
                <w:sz w:val="38"/>
              </w:rPr>
              <w:t>03</w:t>
            </w:r>
          </w:p>
        </w:tc>
        <w:tc>
          <w:tcPr>
            <w:tcW w:type="dxa" w:w="4819"/>
            <w:tcMar>
              <w:top w:w="20" w:type="dxa"/>
              <w:start w:w="40" w:type="dxa"/>
              <w:bottom w:w="25" w:type="dxa"/>
              <w:end w:w="80" w:type="dxa"/>
            </w:tcMar>
            <w:vAlign w:val="center"/>
          </w:tcPr>
          <w:p>
            <w:pPr>
              <w:spacing w:after="40"/>
            </w:pPr>
            <w:r>
              <w:rPr>
                <w:b/>
                <w:sz w:val="23"/>
              </w:rPr>
              <w:t>Shape it</w:t>
            </w:r>
          </w:p>
          <w:p>
            <w:pPr>
              <w:spacing w:after="0"/>
            </w:pPr>
            <w:r>
              <w:rPr>
                <w:sz w:val="20"/>
              </w:rPr>
              <w:t>Apply the approach to real leadership routines and reinforce it through commitments, communication and follow-through.</w:t>
            </w:r>
          </w:p>
        </w:tc>
      </w:tr>
    </w:tbl>
    <w:p>
      <w:pPr>
        <w:pStyle w:val="Heading1"/>
        <w:keepNext/>
      </w:pPr>
      <w:r>
        <w:t>What your organisation receives</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778"/>
        <w:gridCol w:w="6690"/>
      </w:tblGrid>
      <w:tr>
        <w:trPr>
          <w:cantSplit/>
        </w:trPr>
        <w:tc>
          <w:tcPr>
            <w:tcW w:type="dxa" w:w="4819"/>
            <w:shd w:fill="26215F"/>
            <w:tcMar>
              <w:top w:w="105" w:type="dxa"/>
              <w:start w:w="170" w:type="dxa"/>
              <w:bottom w:w="105" w:type="dxa"/>
              <w:end w:w="170" w:type="dxa"/>
            </w:tcMar>
          </w:tcPr>
          <w:p>
            <w:r>
              <w:rPr>
                <w:b/>
                <w:color w:val="FFFFFF"/>
                <w:sz w:val="19"/>
              </w:rPr>
              <w:t>Part of the package</w:t>
            </w:r>
          </w:p>
        </w:tc>
        <w:tc>
          <w:tcPr>
            <w:tcW w:type="dxa" w:w="4819"/>
            <w:shd w:fill="26215F"/>
            <w:tcMar>
              <w:top w:w="105" w:type="dxa"/>
              <w:start w:w="170" w:type="dxa"/>
              <w:bottom w:w="105" w:type="dxa"/>
              <w:end w:w="170" w:type="dxa"/>
            </w:tcMar>
          </w:tcPr>
          <w:p>
            <w:r>
              <w:rPr>
                <w:b/>
                <w:color w:val="FFFFFF"/>
                <w:sz w:val="19"/>
              </w:rPr>
              <w:t>What it provides</w:t>
            </w:r>
          </w:p>
        </w:tc>
      </w:tr>
      <w:tr>
        <w:trPr>
          <w:cantSplit/>
        </w:trPr>
        <w:tc>
          <w:tcPr>
            <w:tcW w:type="dxa" w:w="2778"/>
            <w:shd w:fill="FFFFFF"/>
            <w:tcMar>
              <w:top w:w="80" w:type="dxa"/>
              <w:start w:w="170" w:type="dxa"/>
              <w:bottom w:w="80" w:type="dxa"/>
              <w:end w:w="170" w:type="dxa"/>
            </w:tcMar>
            <w:vAlign w:val="center"/>
          </w:tcPr>
          <w:p>
            <w:r>
              <w:rPr>
                <w:b/>
                <w:color w:val="00758D"/>
                <w:sz w:val="19"/>
              </w:rPr>
              <w:t>Facilitated learning</w:t>
            </w:r>
          </w:p>
        </w:tc>
        <w:tc>
          <w:tcPr>
            <w:tcW w:type="dxa" w:w="6690"/>
            <w:shd w:fill="FFFFFF"/>
            <w:tcMar>
              <w:top w:w="80" w:type="dxa"/>
              <w:start w:w="170" w:type="dxa"/>
              <w:bottom w:w="80" w:type="dxa"/>
              <w:end w:w="170" w:type="dxa"/>
            </w:tcMar>
            <w:vAlign w:val="center"/>
          </w:tcPr>
          <w:p>
            <w:r>
              <w:rPr>
                <w:sz w:val="18"/>
              </w:rPr>
              <w:t>A practical workshop or programme shaped around the leadership population and real organisational situations.</w:t>
            </w:r>
          </w:p>
        </w:tc>
      </w:tr>
      <w:tr>
        <w:trPr>
          <w:cantSplit/>
        </w:trPr>
        <w:tc>
          <w:tcPr>
            <w:tcW w:type="dxa" w:w="2778"/>
            <w:shd w:fill="F5F7F8"/>
            <w:tcMar>
              <w:top w:w="80" w:type="dxa"/>
              <w:start w:w="170" w:type="dxa"/>
              <w:bottom w:w="80" w:type="dxa"/>
              <w:end w:w="170" w:type="dxa"/>
            </w:tcMar>
            <w:vAlign w:val="center"/>
          </w:tcPr>
          <w:p>
            <w:r>
              <w:rPr>
                <w:b/>
                <w:color w:val="00758D"/>
                <w:sz w:val="19"/>
              </w:rPr>
              <w:t>Participant workbook</w:t>
            </w:r>
          </w:p>
        </w:tc>
        <w:tc>
          <w:tcPr>
            <w:tcW w:type="dxa" w:w="6690"/>
            <w:shd w:fill="F5F7F8"/>
            <w:tcMar>
              <w:top w:w="80" w:type="dxa"/>
              <w:start w:w="170" w:type="dxa"/>
              <w:bottom w:w="80" w:type="dxa"/>
              <w:end w:w="170" w:type="dxa"/>
            </w:tcMar>
            <w:vAlign w:val="center"/>
          </w:tcPr>
          <w:p>
            <w:r>
              <w:rPr>
                <w:sz w:val="18"/>
              </w:rPr>
              <w:t>Guided learning, reflection questions and space to apply the model to live feedback conversations.</w:t>
            </w:r>
          </w:p>
        </w:tc>
      </w:tr>
      <w:tr>
        <w:trPr>
          <w:cantSplit/>
        </w:trPr>
        <w:tc>
          <w:tcPr>
            <w:tcW w:type="dxa" w:w="2778"/>
            <w:shd w:fill="FFFFFF"/>
            <w:tcMar>
              <w:top w:w="80" w:type="dxa"/>
              <w:start w:w="170" w:type="dxa"/>
              <w:bottom w:w="80" w:type="dxa"/>
              <w:end w:w="170" w:type="dxa"/>
            </w:tcMar>
            <w:vAlign w:val="center"/>
          </w:tcPr>
          <w:p>
            <w:r>
              <w:rPr>
                <w:b/>
                <w:color w:val="00758D"/>
                <w:sz w:val="19"/>
              </w:rPr>
              <w:t>Leadership Guide</w:t>
            </w:r>
          </w:p>
        </w:tc>
        <w:tc>
          <w:tcPr>
            <w:tcW w:type="dxa" w:w="6690"/>
            <w:shd w:fill="FFFFFF"/>
            <w:tcMar>
              <w:top w:w="80" w:type="dxa"/>
              <w:start w:w="170" w:type="dxa"/>
              <w:bottom w:w="80" w:type="dxa"/>
              <w:end w:w="170" w:type="dxa"/>
            </w:tcMar>
            <w:vAlign w:val="center"/>
          </w:tcPr>
          <w:p>
            <w:r>
              <w:rPr>
                <w:sz w:val="18"/>
              </w:rPr>
              <w:t>Detailed guidance across all eight elements, including questions, signals to notice and ways to respond.</w:t>
            </w:r>
          </w:p>
        </w:tc>
      </w:tr>
      <w:tr>
        <w:trPr>
          <w:cantSplit/>
        </w:trPr>
        <w:tc>
          <w:tcPr>
            <w:tcW w:type="dxa" w:w="2778"/>
            <w:shd w:fill="F5F7F8"/>
            <w:tcMar>
              <w:top w:w="80" w:type="dxa"/>
              <w:start w:w="170" w:type="dxa"/>
              <w:bottom w:w="80" w:type="dxa"/>
              <w:end w:w="170" w:type="dxa"/>
            </w:tcMar>
            <w:vAlign w:val="center"/>
          </w:tcPr>
          <w:p>
            <w:r>
              <w:rPr>
                <w:b/>
                <w:color w:val="00758D"/>
                <w:sz w:val="19"/>
              </w:rPr>
              <w:t>Conversation tools</w:t>
            </w:r>
          </w:p>
        </w:tc>
        <w:tc>
          <w:tcPr>
            <w:tcW w:type="dxa" w:w="6690"/>
            <w:shd w:fill="F5F7F8"/>
            <w:tcMar>
              <w:top w:w="80" w:type="dxa"/>
              <w:start w:w="170" w:type="dxa"/>
              <w:bottom w:w="80" w:type="dxa"/>
              <w:end w:w="170" w:type="dxa"/>
            </w:tcMar>
            <w:vAlign w:val="center"/>
          </w:tcPr>
          <w:p>
            <w:r>
              <w:rPr>
                <w:sz w:val="18"/>
              </w:rPr>
              <w:t>The SAFE conditions check, SEEN conversation planner and concise prompts for preparation and follow-through.</w:t>
            </w:r>
          </w:p>
        </w:tc>
      </w:tr>
      <w:tr>
        <w:trPr>
          <w:cantSplit/>
        </w:trPr>
        <w:tc>
          <w:tcPr>
            <w:tcW w:type="dxa" w:w="2778"/>
            <w:shd w:fill="FFFFFF"/>
            <w:tcMar>
              <w:top w:w="80" w:type="dxa"/>
              <w:start w:w="170" w:type="dxa"/>
              <w:bottom w:w="80" w:type="dxa"/>
              <w:end w:w="170" w:type="dxa"/>
            </w:tcMar>
            <w:vAlign w:val="center"/>
          </w:tcPr>
          <w:p>
            <w:r>
              <w:rPr>
                <w:b/>
                <w:color w:val="00758D"/>
                <w:sz w:val="19"/>
              </w:rPr>
              <w:t>Practice resources</w:t>
            </w:r>
          </w:p>
        </w:tc>
        <w:tc>
          <w:tcPr>
            <w:tcW w:type="dxa" w:w="6690"/>
            <w:shd w:fill="FFFFFF"/>
            <w:tcMar>
              <w:top w:w="80" w:type="dxa"/>
              <w:start w:w="170" w:type="dxa"/>
              <w:bottom w:w="80" w:type="dxa"/>
              <w:end w:w="170" w:type="dxa"/>
            </w:tcMar>
            <w:vAlign w:val="center"/>
          </w:tcPr>
          <w:p>
            <w:r>
              <w:rPr>
                <w:sz w:val="18"/>
              </w:rPr>
              <w:t>Relevant scenarios and practice cards that help leaders explore both sides of the conversation.</w:t>
            </w:r>
          </w:p>
        </w:tc>
      </w:tr>
      <w:tr>
        <w:trPr>
          <w:cantSplit/>
        </w:trPr>
        <w:tc>
          <w:tcPr>
            <w:tcW w:type="dxa" w:w="2778"/>
            <w:shd w:fill="F5F7F8"/>
            <w:tcMar>
              <w:top w:w="80" w:type="dxa"/>
              <w:start w:w="170" w:type="dxa"/>
              <w:bottom w:w="80" w:type="dxa"/>
              <w:end w:w="170" w:type="dxa"/>
            </w:tcMar>
            <w:vAlign w:val="center"/>
          </w:tcPr>
          <w:p>
            <w:r>
              <w:rPr>
                <w:b/>
                <w:color w:val="00758D"/>
                <w:sz w:val="19"/>
              </w:rPr>
              <w:t>Implementation support</w:t>
            </w:r>
          </w:p>
        </w:tc>
        <w:tc>
          <w:tcPr>
            <w:tcW w:type="dxa" w:w="6690"/>
            <w:shd w:fill="F5F7F8"/>
            <w:tcMar>
              <w:top w:w="80" w:type="dxa"/>
              <w:start w:w="170" w:type="dxa"/>
              <w:bottom w:w="80" w:type="dxa"/>
              <w:end w:w="170" w:type="dxa"/>
            </w:tcMar>
            <w:vAlign w:val="center"/>
          </w:tcPr>
          <w:p>
            <w:r>
              <w:rPr>
                <w:sz w:val="18"/>
              </w:rPr>
              <w:t>Quick-reference tools, communication assets, an application plan and a follow-up review of what is changing.</w:t>
            </w:r>
          </w:p>
        </w:tc>
      </w:tr>
    </w:tbl>
    <w:p>
      <w:pPr>
        <w:pStyle w:val="Heading1"/>
        <w:keepNext/>
      </w:pPr>
      <w:r>
        <w:t>The difference it is designed to make</w:t>
      </w:r>
    </w:p>
    <w:p>
      <w:pPr>
        <w:spacing w:after="140"/>
      </w:pPr>
      <w:r>
        <w:rPr>
          <w:sz w:val="20"/>
        </w:rPr>
        <w:t>Used consistently, SAFE-SEEN can strengthen trust, improve the quality of feedback and help people remain present, explain their experience and take ownership of what happens next. Challenge and accountability remain, but they take place in conditions where people are more able to listen, reflect and act.</w:t>
      </w:r>
    </w:p>
    <w:p>
      <w:pPr>
        <w:pStyle w:val="Heading1"/>
        <w:keepNext/>
      </w:pPr>
      <w:r>
        <w:t>Talk to Bridge</w:t>
      </w:r>
    </w:p>
    <w:p>
      <w:pPr>
        <w:spacing w:after="60"/>
      </w:pPr>
      <w:r>
        <w:rPr>
          <w:sz w:val="20"/>
        </w:rPr>
        <w:t>We will work with you to understand the leadership context, identify where SAFE-SEEN can make the greatest difference and shape the right starting point for your organisation.</w:t>
      </w:r>
    </w:p>
    <w:p>
      <w:pPr>
        <w:spacing w:after="0"/>
      </w:pPr>
      <w:r>
        <w:rPr>
          <w:b/>
          <w:color w:val="EC0044"/>
          <w:sz w:val="21"/>
        </w:rPr>
        <w:t>insidebridge.com</w:t>
      </w:r>
    </w:p>
    <w:sectPr w:rsidR="00FC693F" w:rsidRPr="0006063C" w:rsidSect="00034616">
      <w:headerReference w:type="default" r:id="rId9"/>
      <w:headerReference w:type="even" r:id="rId10"/>
      <w:footerReference w:type="default" r:id="rId11"/>
      <w:footerReference w:type="even" r:id="rId12"/>
      <w:pgSz w:w="11906" w:h="16838"/>
      <w:pgMar w:top="879" w:right="1134" w:bottom="879" w:left="1134"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rPr>
        <w:trHeight w:val="74" w:hRule="exact"/>
      </w:trPr>
      <w:tc>
        <w:tcPr>
          <w:tcW w:type="dxa" w:w="3214"/>
          <w:shd w:fill="FFEB00"/>
          <w:tcMar>
            <w:top w:w="0" w:type="dxa"/>
            <w:start w:w="0" w:type="dxa"/>
            <w:bottom w:w="0" w:type="dxa"/>
            <w:end w:w="0" w:type="dxa"/>
          </w:tcMar>
        </w:tcPr>
        <w:p>
          <w:pPr>
            <w:spacing w:after="0"/>
          </w:pPr>
        </w:p>
      </w:tc>
      <w:tc>
        <w:tcPr>
          <w:tcW w:type="dxa" w:w="3214"/>
          <w:shd w:fill="EC0044"/>
          <w:tcMar>
            <w:top w:w="0" w:type="dxa"/>
            <w:start w:w="0" w:type="dxa"/>
            <w:bottom w:w="0" w:type="dxa"/>
            <w:end w:w="0" w:type="dxa"/>
          </w:tcMar>
        </w:tcPr>
        <w:p>
          <w:pPr>
            <w:spacing w:after="0"/>
          </w:pPr>
        </w:p>
      </w:tc>
      <w:tc>
        <w:tcPr>
          <w:tcW w:type="dxa" w:w="3214"/>
          <w:shd w:fill="00ACC8"/>
          <w:tcMar>
            <w:top w:w="0" w:type="dxa"/>
            <w:start w:w="0" w:type="dxa"/>
            <w:bottom w:w="0" w:type="dxa"/>
            <w:end w:w="0" w:type="dxa"/>
          </w:tcMar>
        </w:tcPr>
        <w:p>
          <w:pPr>
            <w:spacing w:after="0"/>
          </w:pPr>
        </w:p>
      </w:tc>
    </w:tr>
  </w:tbl>
  <w:p>
    <w:pPr>
      <w:spacing w:before="80"/>
      <w:jc w:val="left"/>
    </w:pPr>
    <w:r>
      <w:rPr>
        <w:rFonts w:ascii="Arial" w:hAnsi="Arial"/>
        <w:color w:val="667780"/>
        <w:sz w:val="16"/>
      </w:rPr>
      <w:t>insidebridge.com</w:t>
    </w:r>
    <w:r>
      <w:rPr>
        <w:rFonts w:ascii="Arial" w:hAnsi="Arial"/>
        <w:color w:val="667780"/>
        <w:sz w:val="16"/>
      </w:rPr>
      <w:t xml:space="preserve">                                                                                  </w:t>
    </w:r>
    <w:r>
      <w:rPr>
        <w:rFonts w:ascii="Arial" w:hAnsi="Arial"/>
        <w:color w:val="667780"/>
        <w:sz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rPr>
        <w:trHeight w:val="74" w:hRule="exact"/>
      </w:trPr>
      <w:tc>
        <w:tcPr>
          <w:tcW w:type="dxa" w:w="3214"/>
          <w:shd w:fill="FFEB00"/>
          <w:tcMar>
            <w:top w:w="0" w:type="dxa"/>
            <w:start w:w="0" w:type="dxa"/>
            <w:bottom w:w="0" w:type="dxa"/>
            <w:end w:w="0" w:type="dxa"/>
          </w:tcMar>
        </w:tcPr>
        <w:p>
          <w:pPr>
            <w:spacing w:after="0"/>
          </w:pPr>
        </w:p>
      </w:tc>
      <w:tc>
        <w:tcPr>
          <w:tcW w:type="dxa" w:w="3214"/>
          <w:shd w:fill="EC0044"/>
          <w:tcMar>
            <w:top w:w="0" w:type="dxa"/>
            <w:start w:w="0" w:type="dxa"/>
            <w:bottom w:w="0" w:type="dxa"/>
            <w:end w:w="0" w:type="dxa"/>
          </w:tcMar>
        </w:tcPr>
        <w:p>
          <w:pPr>
            <w:spacing w:after="0"/>
          </w:pPr>
        </w:p>
      </w:tc>
      <w:tc>
        <w:tcPr>
          <w:tcW w:type="dxa" w:w="3214"/>
          <w:shd w:fill="00ACC8"/>
          <w:tcMar>
            <w:top w:w="0" w:type="dxa"/>
            <w:start w:w="0" w:type="dxa"/>
            <w:bottom w:w="0" w:type="dxa"/>
            <w:end w:w="0" w:type="dxa"/>
          </w:tcMar>
        </w:tcPr>
        <w:p>
          <w:pPr>
            <w:spacing w:after="0"/>
          </w:pPr>
        </w:p>
      </w:tc>
    </w:tr>
  </w:tbl>
  <w:p>
    <w:pPr>
      <w:spacing w:before="80"/>
      <w:jc w:val="left"/>
    </w:pPr>
    <w:r>
      <w:rPr>
        <w:rFonts w:ascii="Arial" w:hAnsi="Arial"/>
        <w:color w:val="667780"/>
        <w:sz w:val="16"/>
      </w:rPr>
      <w:t>insidebridge.com</w:t>
    </w:r>
    <w:r>
      <w:rPr>
        <w:rFonts w:ascii="Arial" w:hAnsi="Arial"/>
        <w:color w:val="667780"/>
        <w:sz w:val="16"/>
      </w:rPr>
      <w:t xml:space="preserve">                                                                                  </w:t>
    </w:r>
    <w:r>
      <w:rPr>
        <w:rFonts w:ascii="Arial" w:hAnsi="Arial"/>
        <w:color w:val="667780"/>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jc w:val="right"/>
    </w:pPr>
    <w:r>
      <w:drawing>
        <wp:inline xmlns:a="http://schemas.openxmlformats.org/drawingml/2006/main" xmlns:pic="http://schemas.openxmlformats.org/drawingml/2006/picture">
          <wp:extent cx="1044000" cy="346163"/>
          <wp:docPr id="1" name="Picture 1"/>
          <wp:cNvGraphicFramePr>
            <a:graphicFrameLocks noChangeAspect="1"/>
          </wp:cNvGraphicFramePr>
          <a:graphic>
            <a:graphicData uri="http://schemas.openxmlformats.org/drawingml/2006/picture">
              <pic:pic>
                <pic:nvPicPr>
                  <pic:cNvPr id="0" name="bridge_logo_primary.png"/>
                  <pic:cNvPicPr/>
                </pic:nvPicPr>
                <pic:blipFill>
                  <a:blip r:embed="rId1"/>
                  <a:stretch>
                    <a:fillRect/>
                  </a:stretch>
                </pic:blipFill>
                <pic:spPr>
                  <a:xfrm>
                    <a:off x="0" y="0"/>
                    <a:ext cx="1044000" cy="346163"/>
                  </a:xfrm>
                  <a:prstGeom prst="rect"/>
                </pic:spPr>
              </pic:pic>
            </a:graphicData>
          </a:graphic>
        </wp:inline>
      </w:drawing>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rPr>
        <w:trHeight w:val="74" w:hRule="exact"/>
      </w:trPr>
      <w:tc>
        <w:tcPr>
          <w:tcW w:type="dxa" w:w="3214"/>
          <w:shd w:fill="FFEB00"/>
          <w:tcMar>
            <w:top w:w="0" w:type="dxa"/>
            <w:start w:w="0" w:type="dxa"/>
            <w:bottom w:w="0" w:type="dxa"/>
            <w:end w:w="0" w:type="dxa"/>
          </w:tcMar>
        </w:tcPr>
        <w:p>
          <w:pPr>
            <w:spacing w:after="0"/>
          </w:pPr>
        </w:p>
      </w:tc>
      <w:tc>
        <w:tcPr>
          <w:tcW w:type="dxa" w:w="3214"/>
          <w:shd w:fill="EC0044"/>
          <w:tcMar>
            <w:top w:w="0" w:type="dxa"/>
            <w:start w:w="0" w:type="dxa"/>
            <w:bottom w:w="0" w:type="dxa"/>
            <w:end w:w="0" w:type="dxa"/>
          </w:tcMar>
        </w:tcPr>
        <w:p>
          <w:pPr>
            <w:spacing w:after="0"/>
          </w:pPr>
        </w:p>
      </w:tc>
      <w:tc>
        <w:tcPr>
          <w:tcW w:type="dxa" w:w="3214"/>
          <w:shd w:fill="00ACC8"/>
          <w:tcMar>
            <w:top w:w="0" w:type="dxa"/>
            <w:start w:w="0" w:type="dxa"/>
            <w:bottom w:w="0" w:type="dxa"/>
            <w:end w:w="0" w:type="dxa"/>
          </w:tcMar>
        </w:tcPr>
        <w:p>
          <w:pPr>
            <w:spacing w:after="0"/>
          </w:pP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80"/>
      <w:jc w:val="right"/>
    </w:pPr>
    <w:r>
      <w:drawing>
        <wp:inline xmlns:a="http://schemas.openxmlformats.org/drawingml/2006/main" xmlns:pic="http://schemas.openxmlformats.org/drawingml/2006/picture">
          <wp:extent cx="1044000" cy="346163"/>
          <wp:docPr id="1" name="Picture 1"/>
          <wp:cNvGraphicFramePr>
            <a:graphicFrameLocks noChangeAspect="1"/>
          </wp:cNvGraphicFramePr>
          <a:graphic>
            <a:graphicData uri="http://schemas.openxmlformats.org/drawingml/2006/picture">
              <pic:pic>
                <pic:nvPicPr>
                  <pic:cNvPr id="0" name="bridge_logo_primary.png"/>
                  <pic:cNvPicPr/>
                </pic:nvPicPr>
                <pic:blipFill>
                  <a:blip r:embed="rId1"/>
                  <a:stretch>
                    <a:fillRect/>
                  </a:stretch>
                </pic:blipFill>
                <pic:spPr>
                  <a:xfrm>
                    <a:off x="0" y="0"/>
                    <a:ext cx="1044000" cy="346163"/>
                  </a:xfrm>
                  <a:prstGeom prst="rect"/>
                </pic:spPr>
              </pic:pic>
            </a:graphicData>
          </a:graphic>
        </wp:inline>
      </w:drawing>
    </w:r>
  </w:p>
  <w:tbl>
    <w:tblPr>
      <w:tblW w:type="auto" w:w="0"/>
      <w:jc w:val="center"/>
      <w:tblLayout w:type="fixed"/>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rPr>
        <w:trHeight w:val="74" w:hRule="exact"/>
      </w:trPr>
      <w:tc>
        <w:tcPr>
          <w:tcW w:type="dxa" w:w="3214"/>
          <w:shd w:fill="FFEB00"/>
          <w:tcMar>
            <w:top w:w="0" w:type="dxa"/>
            <w:start w:w="0" w:type="dxa"/>
            <w:bottom w:w="0" w:type="dxa"/>
            <w:end w:w="0" w:type="dxa"/>
          </w:tcMar>
        </w:tcPr>
        <w:p>
          <w:pPr>
            <w:spacing w:after="0"/>
          </w:pPr>
        </w:p>
      </w:tc>
      <w:tc>
        <w:tcPr>
          <w:tcW w:type="dxa" w:w="3214"/>
          <w:shd w:fill="EC0044"/>
          <w:tcMar>
            <w:top w:w="0" w:type="dxa"/>
            <w:start w:w="0" w:type="dxa"/>
            <w:bottom w:w="0" w:type="dxa"/>
            <w:end w:w="0" w:type="dxa"/>
          </w:tcMar>
        </w:tcPr>
        <w:p>
          <w:pPr>
            <w:spacing w:after="0"/>
          </w:pPr>
        </w:p>
      </w:tc>
      <w:tc>
        <w:tcPr>
          <w:tcW w:type="dxa" w:w="3214"/>
          <w:shd w:fill="00ACC8"/>
          <w:tcMar>
            <w:top w:w="0" w:type="dxa"/>
            <w:start w:w="0" w:type="dxa"/>
            <w:bottom w:w="0" w:type="dxa"/>
            <w:end w:w="0" w:type="dxa"/>
          </w:tcMar>
        </w:tcPr>
        <w:p>
          <w:pPr>
            <w:spacing w:after="0"/>
          </w:pP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evenAndOddHeaders/>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rial" w:hAnsi="Arial"/>
      <w:b/>
      <w:color w:val="000000"/>
      <w:spacing w:val="5"/>
      <w:kern w:val="28"/>
      <w:sz w:val="5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