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drawing>
          <wp:inline xmlns:a="http://schemas.openxmlformats.org/drawingml/2006/main" xmlns:pic="http://schemas.openxmlformats.org/drawingml/2006/picture">
            <wp:extent cx="1512000" cy="501339"/>
            <wp:docPr id="1" name="Picture 1"/>
            <wp:cNvGraphicFramePr>
              <a:graphicFrameLocks noChangeAspect="1"/>
            </wp:cNvGraphicFramePr>
            <a:graphic>
              <a:graphicData uri="http://schemas.openxmlformats.org/drawingml/2006/picture">
                <pic:pic>
                  <pic:nvPicPr>
                    <pic:cNvPr id="0" name="bridge_logo_primary.png"/>
                    <pic:cNvPicPr/>
                  </pic:nvPicPr>
                  <pic:blipFill>
                    <a:blip r:embed="rId13"/>
                    <a:stretch>
                      <a:fillRect/>
                    </a:stretch>
                  </pic:blipFill>
                  <pic:spPr>
                    <a:xfrm>
                      <a:off x="0" y="0"/>
                      <a:ext cx="1512000" cy="501339"/>
                    </a:xfrm>
                    <a:prstGeom prst="rect"/>
                  </pic:spPr>
                </pic:pic>
              </a:graphicData>
            </a:graphic>
          </wp:inline>
        </w:drawing>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rPr>
          <w:trHeight w:val="147" w:hRule="exact"/>
        </w:trPr>
        <w:tc>
          <w:tcPr>
            <w:tcW w:type="dxa" w:w="3203"/>
            <w:shd w:fill="FFEB00"/>
            <w:tcMar>
              <w:top w:w="0" w:type="dxa"/>
              <w:start w:w="0" w:type="dxa"/>
              <w:bottom w:w="0" w:type="dxa"/>
              <w:end w:w="0" w:type="dxa"/>
            </w:tcMar>
          </w:tcPr>
          <w:p>
            <w:pPr>
              <w:spacing w:after="0"/>
            </w:pPr>
          </w:p>
        </w:tc>
        <w:tc>
          <w:tcPr>
            <w:tcW w:type="dxa" w:w="3203"/>
            <w:shd w:fill="EC0044"/>
            <w:tcMar>
              <w:top w:w="0" w:type="dxa"/>
              <w:start w:w="0" w:type="dxa"/>
              <w:bottom w:w="0" w:type="dxa"/>
              <w:end w:w="0" w:type="dxa"/>
            </w:tcMar>
          </w:tcPr>
          <w:p>
            <w:pPr>
              <w:spacing w:after="0"/>
            </w:pPr>
          </w:p>
        </w:tc>
        <w:tc>
          <w:tcPr>
            <w:tcW w:type="dxa" w:w="3203"/>
            <w:shd w:fill="00ACC8"/>
            <w:tcMar>
              <w:top w:w="0" w:type="dxa"/>
              <w:start w:w="0" w:type="dxa"/>
              <w:bottom w:w="0" w:type="dxa"/>
              <w:end w:w="0" w:type="dxa"/>
            </w:tcMar>
          </w:tcPr>
          <w:p>
            <w:pPr>
              <w:spacing w:after="0"/>
            </w:pPr>
          </w:p>
        </w:tc>
      </w:tr>
    </w:tbl>
    <w:p>
      <w:pPr>
        <w:spacing w:after="300"/>
      </w:pPr>
    </w:p>
    <w:p>
      <w:pPr>
        <w:keepNext/>
        <w:spacing w:before="0" w:after="80"/>
      </w:pPr>
      <w:r>
        <w:rPr>
          <w:b/>
          <w:color w:val="EC0044"/>
          <w:sz w:val="19"/>
        </w:rPr>
        <w:t>BUILT BY BRIDGE</w:t>
      </w:r>
    </w:p>
    <w:p>
      <w:pPr>
        <w:pStyle w:val="Title"/>
        <w:spacing w:after="100"/>
      </w:pPr>
      <w:r>
        <w:rPr>
          <w:color w:val="26215F"/>
          <w:sz w:val="88"/>
        </w:rPr>
        <w:t>SAFE-</w:t>
      </w:r>
      <w:r>
        <w:rPr>
          <w:color w:val="EC0044"/>
          <w:sz w:val="88"/>
        </w:rPr>
        <w:t>SEEN</w:t>
      </w:r>
    </w:p>
    <w:p>
      <w:pPr>
        <w:spacing w:after="400"/>
      </w:pPr>
      <w:r>
        <w:rPr>
          <w:b/>
          <w:color w:val="26215F"/>
          <w:sz w:val="38"/>
        </w:rPr>
        <w:t>A Human-Centred Framework for Feedback That Builds Trust</w:t>
      </w:r>
    </w:p>
    <w:p>
      <w:pPr>
        <w:spacing w:after="900"/>
      </w:pPr>
      <w:r>
        <w:rPr>
          <w:rFonts w:ascii="Georgia" w:hAnsi="Georgia"/>
          <w:i/>
          <w:color w:val="00758D"/>
          <w:sz w:val="30"/>
        </w:rPr>
        <w:t>From psychological safety to meaningful feedback that drives growth</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13"/>
        <w:gridCol w:w="3213"/>
        <w:gridCol w:w="3213"/>
      </w:tblGrid>
      <w:tr>
        <w:tc>
          <w:tcPr>
            <w:tcW w:type="dxa" w:w="3213"/>
            <w:vAlign w:val="center"/>
            <w:shd w:fill="E7F7FA"/>
            <w:tcMar>
              <w:top w:w="230" w:type="dxa"/>
              <w:start w:w="180" w:type="dxa"/>
              <w:bottom w:w="230" w:type="dxa"/>
              <w:end w:w="180" w:type="dxa"/>
            </w:tcMar>
          </w:tcPr>
          <w:p>
            <w:pPr>
              <w:jc w:val="center"/>
            </w:pPr>
            <w:r>
              <w:rPr>
                <w:b/>
                <w:color w:val="00ACC8"/>
                <w:sz w:val="22"/>
              </w:rPr>
              <w:t>Safety before performance</w:t>
            </w:r>
          </w:p>
        </w:tc>
        <w:tc>
          <w:tcPr>
            <w:tcW w:type="dxa" w:w="3213"/>
            <w:vAlign w:val="center"/>
            <w:shd w:fill="FDEAF0"/>
            <w:tcMar>
              <w:top w:w="230" w:type="dxa"/>
              <w:start w:w="180" w:type="dxa"/>
              <w:bottom w:w="230" w:type="dxa"/>
              <w:end w:w="180" w:type="dxa"/>
            </w:tcMar>
          </w:tcPr>
          <w:p>
            <w:pPr>
              <w:jc w:val="center"/>
            </w:pPr>
            <w:r>
              <w:rPr>
                <w:b/>
                <w:color w:val="EC0044"/>
                <w:sz w:val="22"/>
              </w:rPr>
              <w:t>Connection before correction</w:t>
            </w:r>
          </w:p>
        </w:tc>
        <w:tc>
          <w:tcPr>
            <w:tcW w:type="dxa" w:w="3213"/>
            <w:vAlign w:val="center"/>
            <w:shd w:fill="FFFAD1"/>
            <w:tcMar>
              <w:top w:w="230" w:type="dxa"/>
              <w:start w:w="180" w:type="dxa"/>
              <w:bottom w:w="230" w:type="dxa"/>
              <w:end w:w="180" w:type="dxa"/>
            </w:tcMar>
          </w:tcPr>
          <w:p>
            <w:pPr>
              <w:jc w:val="center"/>
            </w:pPr>
            <w:r>
              <w:rPr>
                <w:b/>
                <w:color w:val="000000"/>
                <w:sz w:val="22"/>
              </w:rPr>
              <w:t>Growth through understanding</w:t>
            </w:r>
          </w:p>
        </w:tc>
      </w:tr>
    </w:tbl>
    <w:p>
      <w:pPr>
        <w:spacing w:before="840"/>
        <w:jc w:val="left"/>
      </w:pPr>
      <w:r>
        <w:rPr>
          <w:b/>
          <w:color w:val="EC0044"/>
          <w:sz w:val="34"/>
        </w:rPr>
        <w:t>Lead it.  Live it.  Shape it.</w:t>
      </w:r>
    </w:p>
    <w:p>
      <w:r>
        <w:rPr>
          <w:color w:val="667780"/>
          <w:sz w:val="20"/>
        </w:rPr>
        <w:t>The SAFE-SEEN product brochure</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01</w:t>
            </w:r>
          </w:p>
          <w:p>
            <w:pPr>
              <w:pStyle w:val="Title"/>
              <w:spacing w:after="100"/>
            </w:pPr>
            <w:r>
              <w:t>Introducing SAFE-SEEN</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The conditions around feedback matter as much as the words themselves</w:t>
      </w:r>
    </w:p>
    <w:p>
      <w:r>
        <w:t>Most feedback models begin with the message: what to say, how to structure it and how to make it clear. SAFE-SEEN begins earlier. It asks whether the conditions are right for the person to receive the feedback and whether the conversation is likely to create understanding rather than threat.</w:t>
      </w:r>
    </w:p>
    <w:p>
      <w:r>
        <w:t>Developed by Bridge, SAFE-SEEN is a two-layer leadership framework. SAFE helps leaders establish the conditions before a conversation begins. SEEN guides the conversation itself so that the person feels recognised, involved and able to take ownership of what happens next.</w:t>
      </w:r>
    </w:p>
    <w:p>
      <w:r>
        <w:t>The model is practical, but it is not simply a checklist. It changes the leader's orientation from delivering feedback to creating the conditions for a conversation that can genuinely go somewhere. That distinction is what gives SAFE-SEEN its depth and makes it applicable across different organisations, roles and working relationships.</w:t>
      </w:r>
    </w:p>
    <w:p>
      <w:pPr>
        <w:pStyle w:val="Heading2"/>
        <w:keepNext/>
      </w:pPr>
      <w:r>
        <w:t>What this brochure covers</w:t>
      </w:r>
    </w:p>
    <w:p>
      <w:pPr>
        <w:pStyle w:val="ListBullet"/>
        <w:spacing w:after="80"/>
        <w:ind w:left="454" w:hanging="198"/>
      </w:pPr>
      <w:r>
        <w:t>Why well-intentioned feedback can still lead to defensiveness, withdrawal or shutdown</w:t>
      </w:r>
    </w:p>
    <w:p>
      <w:pPr>
        <w:pStyle w:val="ListBullet"/>
        <w:spacing w:after="80"/>
        <w:ind w:left="454" w:hanging="198"/>
      </w:pPr>
      <w:r>
        <w:t>The psychology of rejection sensitivity and RSD that informs the approach</w:t>
      </w:r>
    </w:p>
    <w:p>
      <w:pPr>
        <w:pStyle w:val="ListBullet"/>
        <w:spacing w:after="80"/>
        <w:ind w:left="454" w:hanging="198"/>
      </w:pPr>
      <w:r>
        <w:t>The two connected layers of SAFE and SEEN</w:t>
      </w:r>
    </w:p>
    <w:p>
      <w:pPr>
        <w:pStyle w:val="ListBullet"/>
        <w:spacing w:after="80"/>
        <w:ind w:left="454" w:hanging="198"/>
      </w:pPr>
      <w:r>
        <w:t>How Bridge introduces, applies and embeds the model</w:t>
      </w:r>
    </w:p>
    <w:p>
      <w:pPr>
        <w:pStyle w:val="ListBullet"/>
        <w:spacing w:after="80"/>
        <w:ind w:left="454" w:hanging="198"/>
      </w:pPr>
      <w:r>
        <w:t>The full package of learning, guidance, tools and follow-through an organisation receives</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02</w:t>
            </w:r>
          </w:p>
          <w:p>
            <w:pPr>
              <w:pStyle w:val="Title"/>
              <w:spacing w:after="100"/>
            </w:pPr>
            <w:r>
              <w:t>Why Feedback Does Not Always Land</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The gap between a leader's intention and the other person's experience</w:t>
      </w:r>
    </w:p>
    <w:p>
      <w:r>
        <w:t>A leader may enter a feedback conversation with a clear purpose and a genuine desire to help. They may choose their words carefully, explain the issue fairly and believe they are offering useful support. Yet the person receiving the feedback may experience something very different: judgement, exposure, failure or a threat to their place in the relationship or team.</w:t>
      </w:r>
    </w:p>
    <w:p>
      <w:r>
        <w:t>When that happens, the response can appear disproportionate from the outside. The person may become defensive, go quiet, over-explain, agree too quickly, mask what they are feeling or disengage altogether. These reactions are often labelled as resistance or poor attitude, when they may be signs that the conversation has activated a much deeper sense of threat.</w:t>
      </w:r>
    </w:p>
    <w:p>
      <w:r>
        <w:t>This is why good intentions are not enough on their own. Feedback is shaped not only by the content of the message, but by who is delivering it, the trust between the two people, the setting, the timing and the history the person brings into the room. SAFE-SEEN gives leaders a way to pay attention to that wider experience without avoiding challenge or lowering expectations.</w:t>
      </w:r>
    </w:p>
    <w:p>
      <w:pPr>
        <w:pStyle w:val="Heading2"/>
        <w:keepNext/>
      </w:pPr>
      <w:r>
        <w:t>What can be missed</w:t>
      </w:r>
    </w:p>
    <w:p>
      <w:pPr>
        <w:pStyle w:val="ListBullet"/>
        <w:spacing w:after="80"/>
        <w:ind w:left="454" w:hanging="198"/>
      </w:pPr>
      <w:r>
        <w:rPr>
          <w:b/>
        </w:rPr>
        <w:t>Intention and impact</w:t>
      </w:r>
      <w:r>
        <w:t xml:space="preserve"> can be very different. A supportive message can still be experienced as criticism or rejection.</w:t>
      </w:r>
    </w:p>
    <w:p>
      <w:pPr>
        <w:pStyle w:val="ListBullet"/>
        <w:spacing w:after="80"/>
        <w:ind w:left="454" w:hanging="198"/>
      </w:pPr>
      <w:r>
        <w:rPr>
          <w:b/>
        </w:rPr>
        <w:t>Visible behaviour</w:t>
      </w:r>
      <w:r>
        <w:t xml:space="preserve"> does not tell the whole story. Withdrawal, defensiveness or silence may be protection rather than unwillingness.</w:t>
      </w:r>
    </w:p>
    <w:p>
      <w:pPr>
        <w:pStyle w:val="ListBullet"/>
        <w:spacing w:after="80"/>
        <w:ind w:left="454" w:hanging="198"/>
      </w:pPr>
      <w:r>
        <w:rPr>
          <w:b/>
        </w:rPr>
        <w:t>The conditions</w:t>
      </w:r>
      <w:r>
        <w:t xml:space="preserve"> come before the content. If the person does not feel safe enough to stay present, the message has little chance of being processed well.</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03</w:t>
            </w:r>
          </w:p>
          <w:p>
            <w:pPr>
              <w:pStyle w:val="Title"/>
              <w:spacing w:after="100"/>
            </w:pPr>
            <w:r>
              <w:t>Understanding Rejection Sensitivity and RSD</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A practical lens for leaders rather than a label for employees</w:t>
      </w:r>
    </w:p>
    <w:p>
      <w:r>
        <w:t>Rejection sensitivity describes heightened awareness of, and reactivity to, signs of criticism, exclusion or failure. Rejection Sensitive Dysphoria, often shortened to RSD, is a term used to describe a more intense and rapid emotional response to perceived rejection or disappointment. It is widely discussed in relation to ADHD and neurodivergence, although it is not a standalone clinical diagnosis.</w:t>
      </w:r>
    </w:p>
    <w:p>
      <w:r>
        <w:t>For many people, this sensitivity is shaped by accumulated experience. Years of correction, misunderstanding, inconsistent responses or feeling out of step with the surrounding environment can teach the nervous system to anticipate criticism before it arrives. Feedback may then be processed not simply as information, but as a warning that approval, belonging or safety could be lost.</w:t>
      </w:r>
    </w:p>
    <w:p>
      <w:r>
        <w:t>SAFE-SEEN does not ask leaders to diagnose anyone. It asks them to understand that the response they see may have a logic that is not immediately visible. By recognising the possibility of perceived threat, leaders can slow the conversation down, check the conditions and create more room for the person to remain present and participate.</w:t>
      </w:r>
    </w:p>
    <w:p>
      <w:pPr>
        <w:pStyle w:val="Heading2"/>
        <w:keepNext/>
      </w:pPr>
      <w:r>
        <w:t>What this may look like in the room</w:t>
      </w:r>
    </w:p>
    <w:p>
      <w:r>
        <w:t>The person may become unusually quiet or tense, defend every detail, over-explain, agree quickly to end the conversation or struggle to process what is being said. They may also appear composed in the moment and withdraw afterwards. None of these behaviours proves that someone is experiencing rejection sensitivity or RSD; they are signals to become more curious rather than rushing to judgement.</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04</w:t>
            </w:r>
          </w:p>
          <w:p>
            <w:pPr>
              <w:pStyle w:val="Title"/>
              <w:spacing w:after="100"/>
            </w:pPr>
            <w:r>
              <w:t>Seeing the Conversation Through Both Lenses</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The person receiving feedback is a participant in the process not a subject of it</w:t>
      </w:r>
    </w:p>
    <w:p>
      <w:r>
        <w:t>One of the central principles within SAFE-SEEN is that a leader's view of the conditions is only one part of the picture. A leader may believe the timing is right, the setting is private and the relationship is strong, while the person sitting opposite them experiences the same conditions very differently.</w:t>
      </w:r>
    </w:p>
    <w:p>
      <w:r>
        <w:t>The two-lens approach asks leaders to make an honest assessment and then check it through simple, genuine questions. Asking whether now is a good time, where the conversation would feel most comfortable or how the person is doing is not a procedural courtesy. It gives the leader better information and gives the other person an immediate experience of being included.</w:t>
      </w:r>
    </w:p>
    <w:p>
      <w:r>
        <w:t>That collaborative thread continues throughout the model. Explore makes room for the person's perspective. Empower involves them in developing the response. Next creates a shared commitment rather than handing down an action. In SAFE-SEEN, being seen does not mean being watched or assessed. It means being recognised and met as part of the conversation.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649"/>
        <w:gridCol w:w="4649"/>
      </w:tblGrid>
      <w:tr>
        <w:tc>
          <w:tcPr>
            <w:tcW w:type="dxa" w:w="4819"/>
            <w:shd w:fill="FFFAD1"/>
            <w:tcMar>
              <w:top w:w="260" w:type="dxa"/>
              <w:start w:w="240" w:type="dxa"/>
              <w:bottom w:w="260" w:type="dxa"/>
              <w:end w:w="240" w:type="dxa"/>
            </w:tcMar>
          </w:tcPr>
          <w:p>
            <w:r>
              <w:rPr>
                <w:b/>
                <w:color w:val="000000"/>
                <w:sz w:val="26"/>
              </w:rPr>
              <w:t>The leader giving feedback</w:t>
            </w:r>
          </w:p>
          <w:p>
            <w:pPr>
              <w:spacing w:after="0"/>
            </w:pPr>
            <w:r>
              <w:t>What do I intend? What have I observed? What conditions do I believe are present?</w:t>
            </w:r>
          </w:p>
        </w:tc>
        <w:tc>
          <w:tcPr>
            <w:tcW w:type="dxa" w:w="4819"/>
            <w:shd w:fill="E7F7FA"/>
            <w:tcMar>
              <w:top w:w="260" w:type="dxa"/>
              <w:start w:w="240" w:type="dxa"/>
              <w:bottom w:w="260" w:type="dxa"/>
              <w:end w:w="240" w:type="dxa"/>
            </w:tcMar>
          </w:tcPr>
          <w:p>
            <w:r>
              <w:rPr>
                <w:b/>
                <w:color w:val="000000"/>
                <w:sz w:val="26"/>
              </w:rPr>
              <w:t>The person receiving feedback</w:t>
            </w:r>
          </w:p>
          <w:p>
            <w:pPr>
              <w:spacing w:after="0"/>
            </w:pPr>
            <w:r>
              <w:t>How does this feel to them? What history or meaning may be attached to it? What do I need to ask rather than assume?</w:t>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05</w:t>
            </w:r>
          </w:p>
          <w:p>
            <w:pPr>
              <w:pStyle w:val="Title"/>
              <w:spacing w:after="100"/>
            </w:pPr>
            <w:r>
              <w:t>The SAFE-SEEN Model</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Two connected layers that move feedback from conditions to conversation</w:t>
      </w:r>
    </w:p>
    <w:p>
      <w:r>
        <w:t>SAFE comes first because psychological safety is the foundation on which the conversation rests. SEEN follows because the way feedback is explored, understood and carried forward determines whether it leads to ownership and growth.</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649"/>
        <w:gridCol w:w="4649"/>
      </w:tblGrid>
      <w:tr>
        <w:tc>
          <w:tcPr>
            <w:tcW w:type="dxa" w:w="4819"/>
            <w:tcMar>
              <w:top w:w="240" w:type="dxa"/>
              <w:start w:w="260" w:type="dxa"/>
              <w:bottom w:w="240" w:type="dxa"/>
              <w:end w:w="260" w:type="dxa"/>
            </w:tcMar>
            <w:vAlign w:val="top"/>
            <w:shd w:fill="FFFAD1"/>
          </w:tcPr>
          <w:p>
            <w:r>
              <w:rPr>
                <w:b/>
                <w:color w:val="00ACC8"/>
              </w:rPr>
              <w:t>LAYER 1</w:t>
            </w:r>
          </w:p>
          <w:p>
            <w:r>
              <w:rPr>
                <w:b/>
                <w:color w:val="000000"/>
                <w:sz w:val="46"/>
              </w:rPr>
              <w:t>SAFE</w:t>
            </w:r>
          </w:p>
          <w:p>
            <w:r>
              <w:rPr>
                <w:b/>
              </w:rPr>
              <w:t>The conditions check</w:t>
            </w:r>
          </w:p>
          <w:p>
            <w:pPr>
              <w:spacing w:after="100"/>
            </w:pPr>
            <w:r>
              <w:rPr>
                <w:b/>
              </w:rPr>
              <w:t>Setting</w:t>
            </w:r>
            <w:r>
              <w:t xml:space="preserve"> - Right time, right place, right moment</w:t>
            </w:r>
          </w:p>
          <w:p>
            <w:pPr>
              <w:spacing w:after="100"/>
            </w:pPr>
            <w:r>
              <w:rPr>
                <w:b/>
              </w:rPr>
              <w:t>Attachment</w:t>
            </w:r>
            <w:r>
              <w:t xml:space="preserve"> - Trust, relationship and belief</w:t>
            </w:r>
          </w:p>
          <w:p>
            <w:pPr>
              <w:spacing w:after="100"/>
            </w:pPr>
            <w:r>
              <w:rPr>
                <w:b/>
              </w:rPr>
              <w:t>Framing</w:t>
            </w:r>
            <w:r>
              <w:t xml:space="preserve"> - Intent made visible before the issue</w:t>
            </w:r>
          </w:p>
          <w:p>
            <w:pPr>
              <w:spacing w:after="100"/>
            </w:pPr>
            <w:r>
              <w:rPr>
                <w:b/>
              </w:rPr>
              <w:t>Emotional State</w:t>
            </w:r>
            <w:r>
              <w:t xml:space="preserve"> - Both people regulated enough to engage</w:t>
            </w:r>
          </w:p>
        </w:tc>
        <w:tc>
          <w:tcPr>
            <w:tcW w:type="dxa" w:w="4819"/>
            <w:tcMar>
              <w:top w:w="240" w:type="dxa"/>
              <w:start w:w="260" w:type="dxa"/>
              <w:bottom w:w="240" w:type="dxa"/>
              <w:end w:w="260" w:type="dxa"/>
            </w:tcMar>
            <w:vAlign w:val="top"/>
            <w:shd w:fill="FDEAF0"/>
          </w:tcPr>
          <w:p>
            <w:r>
              <w:rPr>
                <w:b/>
                <w:color w:val="EC0044"/>
              </w:rPr>
              <w:t>LAYER 2</w:t>
            </w:r>
          </w:p>
          <w:p>
            <w:r>
              <w:rPr>
                <w:b/>
                <w:color w:val="000000"/>
                <w:sz w:val="46"/>
              </w:rPr>
              <w:t>SEEN</w:t>
            </w:r>
          </w:p>
          <w:p>
            <w:r>
              <w:rPr>
                <w:b/>
              </w:rPr>
              <w:t>The conversation</w:t>
            </w:r>
          </w:p>
          <w:p>
            <w:pPr>
              <w:spacing w:after="100"/>
            </w:pPr>
            <w:r>
              <w:rPr>
                <w:b/>
              </w:rPr>
              <w:t>Specific</w:t>
            </w:r>
            <w:r>
              <w:t xml:space="preserve"> - Observable behaviour and impact</w:t>
            </w:r>
          </w:p>
          <w:p>
            <w:pPr>
              <w:spacing w:after="100"/>
            </w:pPr>
            <w:r>
              <w:rPr>
                <w:b/>
              </w:rPr>
              <w:t>Explore</w:t>
            </w:r>
            <w:r>
              <w:t xml:space="preserve"> - Curiosity and their perspective</w:t>
            </w:r>
          </w:p>
          <w:p>
            <w:pPr>
              <w:spacing w:after="100"/>
            </w:pPr>
            <w:r>
              <w:rPr>
                <w:b/>
              </w:rPr>
              <w:t>Empower</w:t>
            </w:r>
            <w:r>
              <w:t xml:space="preserve"> - Solutions developed together</w:t>
            </w:r>
          </w:p>
          <w:p>
            <w:pPr>
              <w:spacing w:after="100"/>
            </w:pPr>
            <w:r>
              <w:rPr>
                <w:b/>
              </w:rPr>
              <w:t>Next</w:t>
            </w:r>
            <w:r>
              <w:t xml:space="preserve"> - A clear shared step and follow-through</w:t>
            </w:r>
          </w:p>
        </w:tc>
      </w:tr>
    </w:tbl>
    <w:p>
      <w:pPr>
        <w:spacing w:before="320"/>
        <w:jc w:val="center"/>
      </w:pPr>
      <w:r>
        <w:rPr>
          <w:b/>
          <w:color w:val="00ACC8"/>
          <w:sz w:val="28"/>
        </w:rPr>
        <w:t>THREAT  →  SAFETY  →  UNDERSTANDING  →  GROWTH</w:t>
      </w:r>
    </w:p>
    <w:p>
      <w:r>
        <w:t>The model gives leaders a route through the whole conversation. It does not remove honesty, challenge or accountability; it creates better conditions for them to be heard, understood and acted upon.</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06</w:t>
            </w:r>
          </w:p>
          <w:p>
            <w:pPr>
              <w:pStyle w:val="Title"/>
              <w:spacing w:after="100"/>
            </w:pPr>
            <w:r>
              <w:t>Layer One SAFE</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Check the conditions before the conversation begins</w:t>
      </w:r>
    </w:p>
    <w:p>
      <w:pPr>
        <w:pStyle w:val="Heading2"/>
        <w:keepNext/>
      </w:pPr>
      <w:r>
        <w:t>Setting</w:t>
      </w:r>
    </w:p>
    <w:p>
      <w:pPr>
        <w:spacing w:after="60"/>
      </w:pPr>
      <w:r>
        <w:rPr>
          <w:b/>
          <w:color w:val="00ACC8"/>
        </w:rPr>
        <w:t>Is this the right time, place and moment?</w:t>
      </w:r>
    </w:p>
    <w:p>
      <w:r>
        <w:t>A quiet room is not enough if the person is rushed, overwhelmed or caught off guard. The setting needs to work for this person and this conversation.</w:t>
      </w:r>
    </w:p>
    <w:p>
      <w:pPr>
        <w:pStyle w:val="Heading2"/>
        <w:keepNext/>
      </w:pPr>
      <w:r>
        <w:t>Attachment</w:t>
      </w:r>
    </w:p>
    <w:p>
      <w:pPr>
        <w:spacing w:after="60"/>
      </w:pPr>
      <w:r>
        <w:rPr>
          <w:b/>
          <w:color w:val="00ACC8"/>
        </w:rPr>
        <w:t>Do they genuinely believe you are on their side?</w:t>
      </w:r>
    </w:p>
    <w:p>
      <w:r>
        <w:t>The leader's intention does not automatically create trust. Attachment asks whether the relationship has enough credibility for the feedback to be experienced as support rather than threat.</w:t>
      </w:r>
    </w:p>
    <w:p>
      <w:pPr>
        <w:pStyle w:val="Heading2"/>
        <w:keepNext/>
      </w:pPr>
      <w:r>
        <w:t>Framing</w:t>
      </w:r>
    </w:p>
    <w:p>
      <w:pPr>
        <w:spacing w:after="60"/>
      </w:pPr>
      <w:r>
        <w:rPr>
          <w:b/>
          <w:color w:val="00ACC8"/>
        </w:rPr>
        <w:t>Have you made your intention clear?</w:t>
      </w:r>
    </w:p>
    <w:p>
      <w:r>
        <w:t>Framing helps the person understand why the conversation is happening before the issue is explored. It invites them in rather than leaving them to predict the worst.</w:t>
      </w:r>
    </w:p>
    <w:p>
      <w:pPr>
        <w:pStyle w:val="Heading2"/>
        <w:keepNext/>
      </w:pPr>
      <w:r>
        <w:t>Emotional State</w:t>
      </w:r>
    </w:p>
    <w:p>
      <w:pPr>
        <w:spacing w:after="60"/>
      </w:pPr>
      <w:r>
        <w:rPr>
          <w:b/>
          <w:color w:val="00ACC8"/>
        </w:rPr>
        <w:t>Are you both regulated enough to have the conversation well?</w:t>
      </w:r>
    </w:p>
    <w:p>
      <w:r>
        <w:t>A conversation attempted when either person is overwhelmed, angry or highly anxious is unlikely to go far. SAFE gives the leader permission to pause and return when the conditions are stronger.</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07</w:t>
            </w:r>
          </w:p>
          <w:p>
            <w:pPr>
              <w:pStyle w:val="Title"/>
              <w:spacing w:after="100"/>
            </w:pPr>
            <w:r>
              <w:t>Layer Two SEEN</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Guide the conversation towards understanding and shared action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649"/>
        <w:gridCol w:w="4649"/>
      </w:tblGrid>
      <w:tr>
        <w:trPr>
          <w:cantSplit/>
        </w:trPr>
        <w:tc>
          <w:tcPr>
            <w:tcW w:type="dxa" w:w="4819"/>
            <w:shd w:fill="FDEAF0"/>
            <w:tcMar>
              <w:top w:w="240" w:type="dxa"/>
              <w:start w:w="240" w:type="dxa"/>
              <w:bottom w:w="240" w:type="dxa"/>
              <w:end w:w="240" w:type="dxa"/>
            </w:tcMar>
            <w:vAlign w:val="top"/>
          </w:tcPr>
          <w:p>
            <w:r>
              <w:rPr>
                <w:b/>
                <w:color w:val="000000"/>
                <w:sz w:val="30"/>
              </w:rPr>
              <w:t>Specific</w:t>
            </w:r>
          </w:p>
          <w:p>
            <w:pPr>
              <w:spacing w:after="100"/>
            </w:pPr>
            <w:r>
              <w:rPr>
                <w:b/>
                <w:color w:val="EC0044"/>
              </w:rPr>
              <w:t>Describe the behaviour or situation clearly</w:t>
            </w:r>
          </w:p>
          <w:p>
            <w:pPr>
              <w:spacing w:after="0"/>
            </w:pPr>
            <w:r>
              <w:t>Ground the conversation in something observable and avoid broad judgements about character, attitude or motivation.</w:t>
            </w:r>
          </w:p>
        </w:tc>
        <w:tc>
          <w:tcPr>
            <w:tcW w:type="dxa" w:w="4819"/>
            <w:shd w:fill="E7F7FA"/>
            <w:tcMar>
              <w:top w:w="240" w:type="dxa"/>
              <w:start w:w="240" w:type="dxa"/>
              <w:bottom w:w="240" w:type="dxa"/>
              <w:end w:w="240" w:type="dxa"/>
            </w:tcMar>
            <w:vAlign w:val="top"/>
          </w:tcPr>
          <w:p>
            <w:r>
              <w:rPr>
                <w:b/>
                <w:color w:val="000000"/>
                <w:sz w:val="30"/>
              </w:rPr>
              <w:t>Explore</w:t>
            </w:r>
          </w:p>
          <w:p>
            <w:pPr>
              <w:spacing w:after="100"/>
            </w:pPr>
            <w:r>
              <w:rPr>
                <w:b/>
                <w:color w:val="EC0044"/>
              </w:rPr>
              <w:t>Listen to their perspective with curiosity</w:t>
            </w:r>
          </w:p>
          <w:p>
            <w:pPr>
              <w:spacing w:after="0"/>
            </w:pPr>
            <w:r>
              <w:t>Create space for context, meaning and information that may change the leader's understanding of what happened.</w:t>
            </w:r>
          </w:p>
        </w:tc>
      </w:tr>
      <w:tr>
        <w:trPr>
          <w:cantSplit/>
        </w:trPr>
        <w:tc>
          <w:tcPr>
            <w:tcW w:type="dxa" w:w="4819"/>
            <w:shd w:fill="FFFAD1"/>
            <w:tcMar>
              <w:top w:w="240" w:type="dxa"/>
              <w:start w:w="240" w:type="dxa"/>
              <w:bottom w:w="240" w:type="dxa"/>
              <w:end w:w="240" w:type="dxa"/>
            </w:tcMar>
            <w:vAlign w:val="top"/>
          </w:tcPr>
          <w:p>
            <w:r>
              <w:rPr>
                <w:b/>
                <w:color w:val="000000"/>
                <w:sz w:val="30"/>
              </w:rPr>
              <w:t>Empower</w:t>
            </w:r>
          </w:p>
          <w:p>
            <w:pPr>
              <w:spacing w:after="100"/>
            </w:pPr>
            <w:r>
              <w:rPr>
                <w:b/>
                <w:color w:val="EC0044"/>
              </w:rPr>
              <w:t>Develop solutions and actions together</w:t>
            </w:r>
          </w:p>
          <w:p>
            <w:pPr>
              <w:spacing w:after="0"/>
            </w:pPr>
            <w:r>
              <w:t>Keep accountability in the conversation while involving the person in deciding how change can happen.</w:t>
            </w:r>
          </w:p>
        </w:tc>
        <w:tc>
          <w:tcPr>
            <w:tcW w:type="dxa" w:w="4819"/>
            <w:shd w:fill="F7F9FA"/>
            <w:tcMar>
              <w:top w:w="240" w:type="dxa"/>
              <w:start w:w="240" w:type="dxa"/>
              <w:bottom w:w="240" w:type="dxa"/>
              <w:end w:w="240" w:type="dxa"/>
            </w:tcMar>
            <w:vAlign w:val="top"/>
          </w:tcPr>
          <w:p>
            <w:r>
              <w:rPr>
                <w:b/>
                <w:color w:val="000000"/>
                <w:sz w:val="30"/>
              </w:rPr>
              <w:t>Next</w:t>
            </w:r>
          </w:p>
          <w:p>
            <w:pPr>
              <w:spacing w:after="100"/>
            </w:pPr>
            <w:r>
              <w:rPr>
                <w:b/>
                <w:color w:val="EC0044"/>
              </w:rPr>
              <w:t>Agree the next step and follow through</w:t>
            </w:r>
          </w:p>
          <w:p>
            <w:pPr>
              <w:spacing w:after="0"/>
            </w:pPr>
            <w:r>
              <w:t>Turn one conversation into a pattern through a clear action, agreed support and a genuine return to the subject.</w:t>
            </w:r>
          </w:p>
        </w:tc>
      </w:tr>
    </w:tbl>
    <w:p>
      <w:pPr>
        <w:spacing w:after="20"/>
      </w:pPr>
    </w:p>
    <w:p>
      <w:r>
        <w:t>SEEN is a guide to the shape of the conversation, not a script. The leader remains present and responsive while making sure that clarity, curiosity, shared ownership and follow-through are all given proper attention.</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08</w:t>
            </w:r>
          </w:p>
          <w:p>
            <w:pPr>
              <w:pStyle w:val="Title"/>
              <w:spacing w:after="100"/>
            </w:pPr>
            <w:r>
              <w:t>How Bridge Brings SAFE-SEEN to Life</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A guided product not a model left behind after a workshop</w:t>
      </w:r>
    </w:p>
    <w:p>
      <w:r>
        <w:t>SAFE-SEEN is introduced through a structured but adaptable process. The scale can change to reflect the organisation, the leadership population and the wider culture, while the core methodology remains consistent.</w:t>
      </w:r>
    </w:p>
    <w:p>
      <w:pPr>
        <w:pStyle w:val="Heading2"/>
        <w:keepNext/>
      </w:pPr>
      <w:r>
        <w:t>Before we begin</w:t>
      </w:r>
    </w:p>
    <w:p>
      <w:r>
        <w:t>Bridge starts with a focused context conversation to understand how feedback currently works, where leaders experience difficulty and what employees may be encountering. Real organisational situations are used to shape the learning, so the model is connected to the environment in which it will be applied.</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68"/>
        <w:gridCol w:w="7030"/>
      </w:tblGrid>
      <w:tr>
        <w:trPr>
          <w:cantSplit/>
        </w:trPr>
        <w:tc>
          <w:tcPr>
            <w:tcW w:type="dxa" w:w="4819"/>
            <w:tcMar>
              <w:top w:w="180" w:type="dxa"/>
              <w:start w:w="220" w:type="dxa"/>
              <w:bottom w:w="180" w:type="dxa"/>
              <w:end w:w="220" w:type="dxa"/>
            </w:tcMar>
            <w:vAlign w:val="center"/>
            <w:shd w:fill="FFEB00"/>
          </w:tcPr>
          <w:p>
            <w:r>
              <w:rPr>
                <w:b/>
                <w:color w:val="26215F"/>
                <w:sz w:val="22"/>
              </w:rPr>
              <w:t>STAGE 1</w:t>
            </w:r>
          </w:p>
          <w:p>
            <w:pPr>
              <w:spacing w:after="0"/>
            </w:pPr>
            <w:r>
              <w:rPr>
                <w:b/>
                <w:color w:val="26215F"/>
                <w:sz w:val="32"/>
              </w:rPr>
              <w:t>Lead it</w:t>
            </w:r>
          </w:p>
        </w:tc>
        <w:tc>
          <w:tcPr>
            <w:tcW w:type="dxa" w:w="4819"/>
            <w:tcMar>
              <w:top w:w="180" w:type="dxa"/>
              <w:start w:w="220" w:type="dxa"/>
              <w:bottom w:w="180" w:type="dxa"/>
              <w:end w:w="220" w:type="dxa"/>
            </w:tcMar>
            <w:vAlign w:val="center"/>
            <w:shd w:fill="FFFAD1"/>
          </w:tcPr>
          <w:p>
            <w:r>
              <w:t>Build the understanding and leadership awareness behind the model.</w:t>
            </w:r>
          </w:p>
          <w:p>
            <w:pPr>
              <w:pStyle w:val="ListBullet"/>
              <w:spacing w:after="40"/>
              <w:ind w:left="369" w:hanging="170"/>
            </w:pPr>
            <w:r>
              <w:t>Explore rejection sensitivity, RSD, perceived threat and psychological safety</w:t>
            </w:r>
          </w:p>
          <w:p>
            <w:pPr>
              <w:pStyle w:val="ListBullet"/>
              <w:spacing w:after="40"/>
              <w:ind w:left="369" w:hanging="170"/>
            </w:pPr>
            <w:r>
              <w:t>Understand the gap between intention and impact</w:t>
            </w:r>
          </w:p>
          <w:p>
            <w:pPr>
              <w:pStyle w:val="ListBullet"/>
              <w:spacing w:after="40"/>
              <w:ind w:left="369" w:hanging="170"/>
            </w:pPr>
            <w:r>
              <w:t>Learn the SAFE and SEEN layers and the two-lens principle</w:t>
            </w:r>
          </w:p>
        </w:tc>
      </w:tr>
    </w:tbl>
    <w:p>
      <w:pPr>
        <w:spacing w:after="20"/>
      </w:pP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68"/>
        <w:gridCol w:w="7030"/>
      </w:tblGrid>
      <w:tr>
        <w:trPr>
          <w:cantSplit/>
        </w:trPr>
        <w:tc>
          <w:tcPr>
            <w:tcW w:type="dxa" w:w="4819"/>
            <w:tcMar>
              <w:top w:w="180" w:type="dxa"/>
              <w:start w:w="220" w:type="dxa"/>
              <w:bottom w:w="180" w:type="dxa"/>
              <w:end w:w="220" w:type="dxa"/>
            </w:tcMar>
            <w:vAlign w:val="center"/>
            <w:shd w:fill="EC0044"/>
          </w:tcPr>
          <w:p>
            <w:r>
              <w:rPr>
                <w:b/>
                <w:color w:val="FFFFFF"/>
                <w:sz w:val="22"/>
              </w:rPr>
              <w:t>STAGE 2</w:t>
            </w:r>
          </w:p>
          <w:p>
            <w:pPr>
              <w:spacing w:after="0"/>
            </w:pPr>
            <w:r>
              <w:rPr>
                <w:b/>
                <w:color w:val="FFFFFF"/>
                <w:sz w:val="32"/>
              </w:rPr>
              <w:t>Live it</w:t>
            </w:r>
          </w:p>
        </w:tc>
        <w:tc>
          <w:tcPr>
            <w:tcW w:type="dxa" w:w="4819"/>
            <w:tcMar>
              <w:top w:w="180" w:type="dxa"/>
              <w:start w:w="220" w:type="dxa"/>
              <w:bottom w:w="180" w:type="dxa"/>
              <w:end w:w="220" w:type="dxa"/>
            </w:tcMar>
            <w:vAlign w:val="center"/>
            <w:shd w:fill="FDEAF0"/>
          </w:tcPr>
          <w:p>
            <w:r>
              <w:t>Move from understanding the model to using it in real conversations.</w:t>
            </w:r>
          </w:p>
          <w:p>
            <w:pPr>
              <w:pStyle w:val="ListBullet"/>
              <w:spacing w:after="40"/>
              <w:ind w:left="369" w:hanging="170"/>
            </w:pPr>
            <w:r>
              <w:t>Work with relevant scenarios and current leadership challenges</w:t>
            </w:r>
          </w:p>
          <w:p>
            <w:pPr>
              <w:pStyle w:val="ListBullet"/>
              <w:spacing w:after="40"/>
              <w:ind w:left="369" w:hanging="170"/>
            </w:pPr>
            <w:r>
              <w:t>Practise checking the conditions, pausing and reframing</w:t>
            </w:r>
          </w:p>
          <w:p>
            <w:pPr>
              <w:pStyle w:val="ListBullet"/>
              <w:spacing w:after="40"/>
              <w:ind w:left="369" w:hanging="170"/>
            </w:pPr>
            <w:r>
              <w:t>Use the conversation planner, prompts and leadership guidance</w:t>
            </w:r>
          </w:p>
        </w:tc>
      </w:tr>
    </w:tbl>
    <w:p>
      <w:pPr>
        <w:spacing w:after="20"/>
      </w:pP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68"/>
        <w:gridCol w:w="7030"/>
      </w:tblGrid>
      <w:tr>
        <w:trPr>
          <w:cantSplit/>
        </w:trPr>
        <w:tc>
          <w:tcPr>
            <w:tcW w:type="dxa" w:w="4819"/>
            <w:tcMar>
              <w:top w:w="180" w:type="dxa"/>
              <w:start w:w="220" w:type="dxa"/>
              <w:bottom w:w="180" w:type="dxa"/>
              <w:end w:w="220" w:type="dxa"/>
            </w:tcMar>
            <w:vAlign w:val="center"/>
            <w:shd w:fill="00ACC8"/>
          </w:tcPr>
          <w:p>
            <w:r>
              <w:rPr>
                <w:b/>
                <w:color w:val="FFFFFF"/>
                <w:sz w:val="22"/>
              </w:rPr>
              <w:t>STAGE 3</w:t>
            </w:r>
          </w:p>
          <w:p>
            <w:pPr>
              <w:spacing w:after="0"/>
            </w:pPr>
            <w:r>
              <w:rPr>
                <w:b/>
                <w:color w:val="FFFFFF"/>
                <w:sz w:val="32"/>
              </w:rPr>
              <w:t>Shape it</w:t>
            </w:r>
          </w:p>
        </w:tc>
        <w:tc>
          <w:tcPr>
            <w:tcW w:type="dxa" w:w="4819"/>
            <w:tcMar>
              <w:top w:w="180" w:type="dxa"/>
              <w:start w:w="220" w:type="dxa"/>
              <w:bottom w:w="180" w:type="dxa"/>
              <w:end w:w="220" w:type="dxa"/>
            </w:tcMar>
            <w:vAlign w:val="center"/>
            <w:shd w:fill="E7F7FA"/>
          </w:tcPr>
          <w:p>
            <w:r>
              <w:t>Embed the approach so it becomes part of everyday leadership practice.</w:t>
            </w:r>
          </w:p>
          <w:p>
            <w:pPr>
              <w:pStyle w:val="ListBullet"/>
              <w:spacing w:after="40"/>
              <w:ind w:left="369" w:hanging="170"/>
            </w:pPr>
            <w:r>
              <w:t>Agree leadership commitments and practical application plans</w:t>
            </w:r>
          </w:p>
          <w:p>
            <w:pPr>
              <w:pStyle w:val="ListBullet"/>
              <w:spacing w:after="40"/>
              <w:ind w:left="369" w:hanging="170"/>
            </w:pPr>
            <w:r>
              <w:t>Connect SAFE-SEEN to feedback, appraisal and people processes</w:t>
            </w:r>
          </w:p>
          <w:p>
            <w:pPr>
              <w:pStyle w:val="ListBullet"/>
              <w:spacing w:after="40"/>
              <w:ind w:left="369" w:hanging="170"/>
            </w:pPr>
            <w:r>
              <w:t>Review how the approach is landing and reinforce learning over time</w:t>
            </w:r>
          </w:p>
        </w:tc>
      </w:tr>
    </w:tbl>
    <w:p>
      <w:pPr>
        <w:spacing w:after="20"/>
      </w:pP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09</w:t>
            </w:r>
          </w:p>
          <w:p>
            <w:pPr>
              <w:pStyle w:val="Title"/>
              <w:spacing w:after="100"/>
            </w:pPr>
            <w:r>
              <w:t>What Your Organisation Receives</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The complete SAFE-SEEN package extends well beyond the facilitated learning</w:t>
      </w:r>
    </w:p>
    <w:p>
      <w:r>
        <w:t>An organisation investing in SAFE-SEEN receives a connected set of learning, guidance and practical tools. Together, these assets make the approach easier to understand, apply and sustain.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891"/>
        <w:gridCol w:w="6406"/>
      </w:tblGrid>
      <w:tr>
        <w:trPr>
          <w:tblHeader w:val="true"/>
        </w:trPr>
        <w:tc>
          <w:tcPr>
            <w:tcW w:type="dxa" w:w="4819"/>
            <w:shd w:fill="26215F"/>
            <w:tcMar>
              <w:top w:w="150" w:type="dxa"/>
              <w:start w:w="180" w:type="dxa"/>
              <w:bottom w:w="150" w:type="dxa"/>
              <w:end w:w="180" w:type="dxa"/>
            </w:tcMar>
          </w:tcPr>
          <w:p>
            <w:r>
              <w:rPr>
                <w:b/>
                <w:color w:val="FFFFFF"/>
                <w:sz w:val="21"/>
              </w:rPr>
              <w:t>Part of the package</w:t>
            </w:r>
          </w:p>
        </w:tc>
        <w:tc>
          <w:tcPr>
            <w:tcW w:type="dxa" w:w="4819"/>
            <w:shd w:fill="26215F"/>
            <w:tcMar>
              <w:top w:w="150" w:type="dxa"/>
              <w:start w:w="180" w:type="dxa"/>
              <w:bottom w:w="150" w:type="dxa"/>
              <w:end w:w="180" w:type="dxa"/>
            </w:tcMar>
          </w:tcPr>
          <w:p>
            <w:r>
              <w:rPr>
                <w:b/>
                <w:color w:val="FFFFFF"/>
                <w:sz w:val="21"/>
              </w:rPr>
              <w:t>What it provides</w:t>
            </w:r>
          </w:p>
        </w:tc>
      </w:tr>
      <w:tr>
        <w:trPr>
          <w:cantSplit/>
        </w:trPr>
        <w:tc>
          <w:tcPr>
            <w:tcW w:type="dxa" w:w="2891"/>
            <w:tcMar>
              <w:top w:w="110" w:type="dxa"/>
              <w:start w:w="165" w:type="dxa"/>
              <w:bottom w:w="110" w:type="dxa"/>
              <w:end w:w="165" w:type="dxa"/>
            </w:tcMar>
            <w:vAlign w:val="center"/>
          </w:tcPr>
          <w:p>
            <w:r>
              <w:rPr>
                <w:b/>
                <w:sz w:val="20"/>
              </w:rPr>
              <w:t>Context and tailoring</w:t>
            </w:r>
          </w:p>
        </w:tc>
        <w:tc>
          <w:tcPr>
            <w:tcW w:type="dxa" w:w="6406"/>
            <w:tcMar>
              <w:top w:w="110" w:type="dxa"/>
              <w:start w:w="165" w:type="dxa"/>
              <w:bottom w:w="110" w:type="dxa"/>
              <w:end w:w="165" w:type="dxa"/>
            </w:tcMar>
            <w:vAlign w:val="center"/>
          </w:tcPr>
          <w:p>
            <w:r>
              <w:rPr>
                <w:sz w:val="20"/>
              </w:rPr>
              <w:t>A focused sponsor and organisational context conversation, with relevant scenarios and emphasis shaped around the leadership population.</w:t>
            </w:r>
          </w:p>
        </w:tc>
      </w:tr>
      <w:tr>
        <w:trPr>
          <w:cantSplit/>
        </w:trPr>
        <w:tc>
          <w:tcPr>
            <w:tcW w:type="dxa" w:w="2891"/>
            <w:shd w:fill="F7F9FA"/>
            <w:tcMar>
              <w:top w:w="110" w:type="dxa"/>
              <w:start w:w="165" w:type="dxa"/>
              <w:bottom w:w="110" w:type="dxa"/>
              <w:end w:w="165" w:type="dxa"/>
            </w:tcMar>
            <w:vAlign w:val="center"/>
          </w:tcPr>
          <w:p>
            <w:r>
              <w:rPr>
                <w:b/>
                <w:sz w:val="20"/>
              </w:rPr>
              <w:t>Facilitated learning</w:t>
            </w:r>
          </w:p>
        </w:tc>
        <w:tc>
          <w:tcPr>
            <w:tcW w:type="dxa" w:w="6406"/>
            <w:shd w:fill="F7F9FA"/>
            <w:tcMar>
              <w:top w:w="110" w:type="dxa"/>
              <w:start w:w="165" w:type="dxa"/>
              <w:bottom w:w="110" w:type="dxa"/>
              <w:end w:w="165" w:type="dxa"/>
            </w:tcMar>
            <w:vAlign w:val="center"/>
          </w:tcPr>
          <w:p>
            <w:r>
              <w:rPr>
                <w:sz w:val="20"/>
              </w:rPr>
              <w:t>A practical SAFE-SEEN workshop or programme that builds understanding of the psychology, introduces both layers and creates space to practise.</w:t>
            </w:r>
          </w:p>
        </w:tc>
      </w:tr>
      <w:tr>
        <w:trPr>
          <w:cantSplit/>
        </w:trPr>
        <w:tc>
          <w:tcPr>
            <w:tcW w:type="dxa" w:w="2891"/>
            <w:tcMar>
              <w:top w:w="110" w:type="dxa"/>
              <w:start w:w="165" w:type="dxa"/>
              <w:bottom w:w="110" w:type="dxa"/>
              <w:end w:w="165" w:type="dxa"/>
            </w:tcMar>
            <w:vAlign w:val="center"/>
          </w:tcPr>
          <w:p>
            <w:r>
              <w:rPr>
                <w:b/>
                <w:sz w:val="20"/>
              </w:rPr>
              <w:t>Participant workbook</w:t>
            </w:r>
          </w:p>
        </w:tc>
        <w:tc>
          <w:tcPr>
            <w:tcW w:type="dxa" w:w="6406"/>
            <w:tcMar>
              <w:top w:w="110" w:type="dxa"/>
              <w:start w:w="165" w:type="dxa"/>
              <w:bottom w:w="110" w:type="dxa"/>
              <w:end w:w="165" w:type="dxa"/>
            </w:tcMar>
            <w:vAlign w:val="center"/>
          </w:tcPr>
          <w:p>
            <w:r>
              <w:rPr>
                <w:sz w:val="20"/>
              </w:rPr>
              <w:t>A guided learning workbook capturing the model, reflection questions, exercises and space to apply SAFE-SEEN to real situations.</w:t>
            </w:r>
          </w:p>
        </w:tc>
      </w:tr>
      <w:tr>
        <w:trPr>
          <w:cantSplit/>
        </w:trPr>
        <w:tc>
          <w:tcPr>
            <w:tcW w:type="dxa" w:w="2891"/>
            <w:shd w:fill="F7F9FA"/>
            <w:tcMar>
              <w:top w:w="110" w:type="dxa"/>
              <w:start w:w="165" w:type="dxa"/>
              <w:bottom w:w="110" w:type="dxa"/>
              <w:end w:w="165" w:type="dxa"/>
            </w:tcMar>
            <w:vAlign w:val="center"/>
          </w:tcPr>
          <w:p>
            <w:r>
              <w:rPr>
                <w:b/>
                <w:sz w:val="20"/>
              </w:rPr>
              <w:t>Conversation tools</w:t>
            </w:r>
          </w:p>
        </w:tc>
        <w:tc>
          <w:tcPr>
            <w:tcW w:type="dxa" w:w="6406"/>
            <w:shd w:fill="F7F9FA"/>
            <w:tcMar>
              <w:top w:w="110" w:type="dxa"/>
              <w:start w:w="165" w:type="dxa"/>
              <w:bottom w:w="110" w:type="dxa"/>
              <w:end w:w="165" w:type="dxa"/>
            </w:tcMar>
            <w:vAlign w:val="center"/>
          </w:tcPr>
          <w:p>
            <w:r>
              <w:rPr>
                <w:sz w:val="20"/>
              </w:rPr>
              <w:t>The SAFE conditions check, SEEN conversation planner and concise prompts leaders can use before and after significant feedback conversations.</w:t>
            </w:r>
          </w:p>
        </w:tc>
      </w:tr>
      <w:tr>
        <w:trPr>
          <w:cantSplit/>
        </w:trPr>
        <w:tc>
          <w:tcPr>
            <w:tcW w:type="dxa" w:w="2891"/>
            <w:tcMar>
              <w:top w:w="110" w:type="dxa"/>
              <w:start w:w="165" w:type="dxa"/>
              <w:bottom w:w="110" w:type="dxa"/>
              <w:end w:w="165" w:type="dxa"/>
            </w:tcMar>
            <w:vAlign w:val="center"/>
          </w:tcPr>
          <w:p>
            <w:r>
              <w:rPr>
                <w:b/>
                <w:sz w:val="20"/>
              </w:rPr>
              <w:t>Leadership Guide</w:t>
            </w:r>
          </w:p>
        </w:tc>
        <w:tc>
          <w:tcPr>
            <w:tcW w:type="dxa" w:w="6406"/>
            <w:tcMar>
              <w:top w:w="110" w:type="dxa"/>
              <w:start w:w="165" w:type="dxa"/>
              <w:bottom w:w="110" w:type="dxa"/>
              <w:end w:w="165" w:type="dxa"/>
            </w:tcMar>
            <w:vAlign w:val="center"/>
          </w:tcPr>
          <w:p>
            <w:r>
              <w:rPr>
                <w:sz w:val="20"/>
              </w:rPr>
              <w:t>The full practical companion to the model, covering all eight elements with questions to ask, signals to notice and guidance for responding in the moment.</w:t>
            </w:r>
          </w:p>
        </w:tc>
      </w:tr>
      <w:tr>
        <w:trPr>
          <w:cantSplit/>
        </w:trPr>
        <w:tc>
          <w:tcPr>
            <w:tcW w:type="dxa" w:w="2891"/>
            <w:shd w:fill="F7F9FA"/>
            <w:tcMar>
              <w:top w:w="110" w:type="dxa"/>
              <w:start w:w="165" w:type="dxa"/>
              <w:bottom w:w="110" w:type="dxa"/>
              <w:end w:w="165" w:type="dxa"/>
            </w:tcMar>
            <w:vAlign w:val="center"/>
          </w:tcPr>
          <w:p>
            <w:r>
              <w:rPr>
                <w:b/>
                <w:sz w:val="20"/>
              </w:rPr>
              <w:t>Quick reference tools</w:t>
            </w:r>
          </w:p>
        </w:tc>
        <w:tc>
          <w:tcPr>
            <w:tcW w:type="dxa" w:w="6406"/>
            <w:shd w:fill="F7F9FA"/>
            <w:tcMar>
              <w:top w:w="110" w:type="dxa"/>
              <w:start w:w="165" w:type="dxa"/>
              <w:bottom w:w="110" w:type="dxa"/>
              <w:end w:w="165" w:type="dxa"/>
            </w:tcMar>
            <w:vAlign w:val="center"/>
          </w:tcPr>
          <w:p>
            <w:r>
              <w:rPr>
                <w:sz w:val="20"/>
              </w:rPr>
              <w:t>A one-page leadership reference guide, desk aid and digital quick-reference version for use in everyday practice.</w:t>
            </w:r>
          </w:p>
        </w:tc>
      </w:tr>
    </w:tbl>
    <w:p>
      <w:r>
        <w:br w:type="page"/>
      </w:r>
    </w:p>
    <w:p>
      <w:pPr>
        <w:keepNext/>
        <w:spacing w:before="0" w:after="80"/>
      </w:pPr>
      <w:r>
        <w:rPr>
          <w:b/>
          <w:color w:val="EC0044"/>
          <w:sz w:val="19"/>
        </w:rPr>
        <w:t>SECTION 09 CONTINUED</w:t>
      </w:r>
    </w:p>
    <w:p>
      <w:pPr>
        <w:pStyle w:val="Title"/>
        <w:keepNext/>
      </w:pPr>
      <w:r>
        <w:t>Support That Carries the Learning Forward</w:t>
      </w:r>
    </w:p>
    <w:p>
      <w:pPr>
        <w:spacing w:after="260"/>
      </w:pPr>
      <w:r>
        <w:rPr>
          <w:color w:val="00ACC8"/>
          <w:sz w:val="25"/>
        </w:rPr>
        <w:t>The practical tools and follow-through keep SAFE-SEEN visible and usable after the initial learning experience.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891"/>
        <w:gridCol w:w="6406"/>
      </w:tblGrid>
      <w:tr>
        <w:trPr>
          <w:tblHeader w:val="true"/>
        </w:trPr>
        <w:tc>
          <w:tcPr>
            <w:tcW w:type="dxa" w:w="4819"/>
            <w:shd w:fill="26215F"/>
            <w:tcMar>
              <w:top w:w="150" w:type="dxa"/>
              <w:start w:w="180" w:type="dxa"/>
              <w:bottom w:w="150" w:type="dxa"/>
              <w:end w:w="180" w:type="dxa"/>
            </w:tcMar>
          </w:tcPr>
          <w:p>
            <w:r>
              <w:rPr>
                <w:b/>
                <w:color w:val="FFFFFF"/>
                <w:sz w:val="21"/>
              </w:rPr>
              <w:t>Part of the package</w:t>
            </w:r>
          </w:p>
        </w:tc>
        <w:tc>
          <w:tcPr>
            <w:tcW w:type="dxa" w:w="4819"/>
            <w:shd w:fill="26215F"/>
            <w:tcMar>
              <w:top w:w="150" w:type="dxa"/>
              <w:start w:w="180" w:type="dxa"/>
              <w:bottom w:w="150" w:type="dxa"/>
              <w:end w:w="180" w:type="dxa"/>
            </w:tcMar>
          </w:tcPr>
          <w:p>
            <w:r>
              <w:rPr>
                <w:b/>
                <w:color w:val="FFFFFF"/>
                <w:sz w:val="21"/>
              </w:rPr>
              <w:t>What it provides</w:t>
            </w:r>
          </w:p>
        </w:tc>
      </w:tr>
      <w:tr>
        <w:trPr>
          <w:cantSplit/>
        </w:trPr>
        <w:tc>
          <w:tcPr>
            <w:tcW w:type="dxa" w:w="2891"/>
            <w:tcMar>
              <w:top w:w="110" w:type="dxa"/>
              <w:start w:w="165" w:type="dxa"/>
              <w:bottom w:w="110" w:type="dxa"/>
              <w:end w:w="165" w:type="dxa"/>
            </w:tcMar>
            <w:vAlign w:val="center"/>
          </w:tcPr>
          <w:p>
            <w:r>
              <w:rPr>
                <w:b/>
                <w:sz w:val="20"/>
              </w:rPr>
              <w:t>Practice resources</w:t>
            </w:r>
          </w:p>
        </w:tc>
        <w:tc>
          <w:tcPr>
            <w:tcW w:type="dxa" w:w="6406"/>
            <w:tcMar>
              <w:top w:w="110" w:type="dxa"/>
              <w:start w:w="165" w:type="dxa"/>
              <w:bottom w:w="110" w:type="dxa"/>
              <w:end w:w="165" w:type="dxa"/>
            </w:tcMar>
            <w:vAlign w:val="center"/>
          </w:tcPr>
          <w:p>
            <w:r>
              <w:rPr>
                <w:sz w:val="20"/>
              </w:rPr>
              <w:t>Scenario and practice cards that allow leaders to explore different responses, perspectives and organisational situations.</w:t>
            </w:r>
          </w:p>
        </w:tc>
      </w:tr>
      <w:tr>
        <w:trPr>
          <w:cantSplit/>
        </w:trPr>
        <w:tc>
          <w:tcPr>
            <w:tcW w:type="dxa" w:w="2891"/>
            <w:shd w:fill="F7F9FA"/>
            <w:tcMar>
              <w:top w:w="110" w:type="dxa"/>
              <w:start w:w="165" w:type="dxa"/>
              <w:bottom w:w="110" w:type="dxa"/>
              <w:end w:w="165" w:type="dxa"/>
            </w:tcMar>
            <w:vAlign w:val="center"/>
          </w:tcPr>
          <w:p>
            <w:r>
              <w:rPr>
                <w:b/>
                <w:sz w:val="20"/>
              </w:rPr>
              <w:t>Implementation guide</w:t>
            </w:r>
          </w:p>
        </w:tc>
        <w:tc>
          <w:tcPr>
            <w:tcW w:type="dxa" w:w="6406"/>
            <w:shd w:fill="F7F9FA"/>
            <w:tcMar>
              <w:top w:w="110" w:type="dxa"/>
              <w:start w:w="165" w:type="dxa"/>
              <w:bottom w:w="110" w:type="dxa"/>
              <w:end w:w="165" w:type="dxa"/>
            </w:tcMar>
            <w:vAlign w:val="center"/>
          </w:tcPr>
          <w:p>
            <w:r>
              <w:rPr>
                <w:sz w:val="20"/>
              </w:rPr>
              <w:t>Practical direction for leaders and people teams on introducing the model, reinforcing it and connecting it to existing leadership routines.</w:t>
            </w:r>
          </w:p>
        </w:tc>
      </w:tr>
      <w:tr>
        <w:trPr>
          <w:cantSplit/>
        </w:trPr>
        <w:tc>
          <w:tcPr>
            <w:tcW w:type="dxa" w:w="2891"/>
            <w:tcMar>
              <w:top w:w="110" w:type="dxa"/>
              <w:start w:w="165" w:type="dxa"/>
              <w:bottom w:w="110" w:type="dxa"/>
              <w:end w:w="165" w:type="dxa"/>
            </w:tcMar>
            <w:vAlign w:val="center"/>
          </w:tcPr>
          <w:p>
            <w:r>
              <w:rPr>
                <w:b/>
                <w:sz w:val="20"/>
              </w:rPr>
              <w:t>Internal communication assets</w:t>
            </w:r>
          </w:p>
        </w:tc>
        <w:tc>
          <w:tcPr>
            <w:tcW w:type="dxa" w:w="6406"/>
            <w:tcMar>
              <w:top w:w="110" w:type="dxa"/>
              <w:start w:w="165" w:type="dxa"/>
              <w:bottom w:w="110" w:type="dxa"/>
              <w:end w:w="165" w:type="dxa"/>
            </w:tcMar>
            <w:vAlign w:val="center"/>
          </w:tcPr>
          <w:p>
            <w:r>
              <w:rPr>
                <w:sz w:val="20"/>
              </w:rPr>
              <w:t>Posters, infographics and digital content that build recognition of the model and keep its language visible.</w:t>
            </w:r>
          </w:p>
        </w:tc>
      </w:tr>
      <w:tr>
        <w:trPr>
          <w:cantSplit/>
        </w:trPr>
        <w:tc>
          <w:tcPr>
            <w:tcW w:type="dxa" w:w="2891"/>
            <w:shd w:fill="F7F9FA"/>
            <w:tcMar>
              <w:top w:w="110" w:type="dxa"/>
              <w:start w:w="165" w:type="dxa"/>
              <w:bottom w:w="110" w:type="dxa"/>
              <w:end w:w="165" w:type="dxa"/>
            </w:tcMar>
            <w:vAlign w:val="center"/>
          </w:tcPr>
          <w:p>
            <w:r>
              <w:rPr>
                <w:b/>
                <w:sz w:val="20"/>
              </w:rPr>
              <w:t>Application plan</w:t>
            </w:r>
          </w:p>
        </w:tc>
        <w:tc>
          <w:tcPr>
            <w:tcW w:type="dxa" w:w="6406"/>
            <w:shd w:fill="F7F9FA"/>
            <w:tcMar>
              <w:top w:w="110" w:type="dxa"/>
              <w:start w:w="165" w:type="dxa"/>
              <w:bottom w:w="110" w:type="dxa"/>
              <w:end w:w="165" w:type="dxa"/>
            </w:tcMar>
            <w:vAlign w:val="center"/>
          </w:tcPr>
          <w:p>
            <w:r>
              <w:rPr>
                <w:sz w:val="20"/>
              </w:rPr>
              <w:t>Individual leadership commitments and a simple plan for applying the model within teams and live working relationships.</w:t>
            </w:r>
          </w:p>
        </w:tc>
      </w:tr>
      <w:tr>
        <w:trPr>
          <w:cantSplit/>
        </w:trPr>
        <w:tc>
          <w:tcPr>
            <w:tcW w:type="dxa" w:w="2891"/>
            <w:tcMar>
              <w:top w:w="110" w:type="dxa"/>
              <w:start w:w="165" w:type="dxa"/>
              <w:bottom w:w="110" w:type="dxa"/>
              <w:end w:w="165" w:type="dxa"/>
            </w:tcMar>
            <w:vAlign w:val="center"/>
          </w:tcPr>
          <w:p>
            <w:r>
              <w:rPr>
                <w:b/>
                <w:sz w:val="20"/>
              </w:rPr>
              <w:t>Follow-through</w:t>
            </w:r>
          </w:p>
        </w:tc>
        <w:tc>
          <w:tcPr>
            <w:tcW w:type="dxa" w:w="6406"/>
            <w:tcMar>
              <w:top w:w="110" w:type="dxa"/>
              <w:start w:w="165" w:type="dxa"/>
              <w:bottom w:w="110" w:type="dxa"/>
              <w:end w:w="165" w:type="dxa"/>
            </w:tcMar>
            <w:vAlign w:val="center"/>
          </w:tcPr>
          <w:p>
            <w:r>
              <w:rPr>
                <w:sz w:val="20"/>
              </w:rPr>
              <w:t>A follow-up learning and review session, supported by simple pulse questions to understand what is changing and where further support is needed.</w:t>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10</w:t>
            </w:r>
          </w:p>
          <w:p>
            <w:pPr>
              <w:pStyle w:val="Title"/>
              <w:spacing w:after="100"/>
            </w:pPr>
            <w:r>
              <w:t>Inside the SAFE-SEEN Leadership Guide</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Practical guidance that helps leaders read the room and use the model well</w:t>
      </w:r>
    </w:p>
    <w:p>
      <w:r>
        <w:t>The Leadership Guide is a substantial part of the SAFE-SEEN package. It helps leaders consider what to ask themselves, what to ask the other person and what they may need to notice before deciding how to proceed. The full guide covers all eight elements; the excerpts below show how the guidance works in practice. It is a guide for preparation and awareness, not a script to read during the conversation.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417"/>
        <w:gridCol w:w="2438"/>
        <w:gridCol w:w="2438"/>
        <w:gridCol w:w="3005"/>
      </w:tblGrid>
      <w:tr>
        <w:trPr>
          <w:tblHeader w:val="true"/>
        </w:trPr>
        <w:tc>
          <w:tcPr>
            <w:tcW w:type="dxa" w:w="2409"/>
            <w:shd w:fill="26215F"/>
            <w:tcMar>
              <w:top w:w="160" w:type="dxa"/>
              <w:start w:w="150" w:type="dxa"/>
              <w:bottom w:w="160" w:type="dxa"/>
              <w:end w:w="150" w:type="dxa"/>
            </w:tcMar>
          </w:tcPr>
          <w:p>
            <w:r>
              <w:rPr>
                <w:b/>
                <w:color w:val="FFFFFF"/>
              </w:rPr>
              <w:t>Element</w:t>
            </w:r>
          </w:p>
        </w:tc>
        <w:tc>
          <w:tcPr>
            <w:tcW w:type="dxa" w:w="2409"/>
            <w:shd w:fill="26215F"/>
            <w:tcMar>
              <w:top w:w="160" w:type="dxa"/>
              <w:start w:w="150" w:type="dxa"/>
              <w:bottom w:w="160" w:type="dxa"/>
              <w:end w:w="150" w:type="dxa"/>
            </w:tcMar>
          </w:tcPr>
          <w:p>
            <w:r>
              <w:rPr>
                <w:b/>
                <w:color w:val="FFFFFF"/>
              </w:rPr>
              <w:t>Ask yourself</w:t>
            </w:r>
          </w:p>
        </w:tc>
        <w:tc>
          <w:tcPr>
            <w:tcW w:type="dxa" w:w="2409"/>
            <w:shd w:fill="26215F"/>
            <w:tcMar>
              <w:top w:w="160" w:type="dxa"/>
              <w:start w:w="150" w:type="dxa"/>
              <w:bottom w:w="160" w:type="dxa"/>
              <w:end w:w="150" w:type="dxa"/>
            </w:tcMar>
          </w:tcPr>
          <w:p>
            <w:r>
              <w:rPr>
                <w:b/>
                <w:color w:val="FFFFFF"/>
              </w:rPr>
              <w:t>Ask them</w:t>
            </w:r>
          </w:p>
        </w:tc>
        <w:tc>
          <w:tcPr>
            <w:tcW w:type="dxa" w:w="2409"/>
            <w:shd w:fill="26215F"/>
            <w:tcMar>
              <w:top w:w="160" w:type="dxa"/>
              <w:start w:w="150" w:type="dxa"/>
              <w:bottom w:w="160" w:type="dxa"/>
              <w:end w:w="150" w:type="dxa"/>
            </w:tcMar>
          </w:tcPr>
          <w:p>
            <w:r>
              <w:rPr>
                <w:b/>
                <w:color w:val="FFFFFF"/>
              </w:rPr>
              <w:t>Watch and consider</w:t>
            </w:r>
          </w:p>
        </w:tc>
      </w:tr>
      <w:tr>
        <w:trPr>
          <w:cantSplit/>
        </w:trPr>
        <w:tc>
          <w:tcPr>
            <w:tcW w:type="dxa" w:w="1417"/>
            <w:tcMar>
              <w:top w:w="150" w:type="dxa"/>
              <w:start w:w="150" w:type="dxa"/>
              <w:bottom w:w="150" w:type="dxa"/>
              <w:end w:w="150" w:type="dxa"/>
            </w:tcMar>
            <w:vAlign w:val="center"/>
          </w:tcPr>
          <w:p>
            <w:r>
              <w:rPr>
                <w:b/>
                <w:sz w:val="19"/>
              </w:rPr>
              <w:t>Setting</w:t>
            </w:r>
          </w:p>
        </w:tc>
        <w:tc>
          <w:tcPr>
            <w:tcW w:type="dxa" w:w="2438"/>
            <w:tcMar>
              <w:top w:w="150" w:type="dxa"/>
              <w:start w:w="150" w:type="dxa"/>
              <w:bottom w:w="150" w:type="dxa"/>
              <w:end w:w="150" w:type="dxa"/>
            </w:tcMar>
            <w:vAlign w:val="center"/>
          </w:tcPr>
          <w:p>
            <w:r>
              <w:rPr>
                <w:sz w:val="19"/>
              </w:rPr>
              <w:t>Is this genuinely the right time and environment?</w:t>
            </w:r>
          </w:p>
        </w:tc>
        <w:tc>
          <w:tcPr>
            <w:tcW w:type="dxa" w:w="2438"/>
            <w:tcMar>
              <w:top w:w="150" w:type="dxa"/>
              <w:start w:w="150" w:type="dxa"/>
              <w:bottom w:w="150" w:type="dxa"/>
              <w:end w:w="150" w:type="dxa"/>
            </w:tcMar>
            <w:vAlign w:val="center"/>
          </w:tcPr>
          <w:p>
            <w:r>
              <w:rPr>
                <w:sz w:val="19"/>
              </w:rPr>
              <w:t>Where and when would feel right for this conversation?</w:t>
            </w:r>
          </w:p>
        </w:tc>
        <w:tc>
          <w:tcPr>
            <w:tcW w:type="dxa" w:w="3005"/>
            <w:tcMar>
              <w:top w:w="150" w:type="dxa"/>
              <w:start w:w="150" w:type="dxa"/>
              <w:bottom w:w="150" w:type="dxa"/>
              <w:end w:w="150" w:type="dxa"/>
            </w:tcMar>
            <w:vAlign w:val="center"/>
          </w:tcPr>
          <w:p>
            <w:r>
              <w:rPr>
                <w:sz w:val="19"/>
              </w:rPr>
              <w:t>Are they settled or braced? Is there privacy, time and enough headspace?</w:t>
            </w:r>
          </w:p>
        </w:tc>
      </w:tr>
      <w:tr>
        <w:trPr>
          <w:cantSplit/>
        </w:trPr>
        <w:tc>
          <w:tcPr>
            <w:tcW w:type="dxa" w:w="1417"/>
            <w:shd w:fill="F7F9FA"/>
            <w:tcMar>
              <w:top w:w="150" w:type="dxa"/>
              <w:start w:w="150" w:type="dxa"/>
              <w:bottom w:w="150" w:type="dxa"/>
              <w:end w:w="150" w:type="dxa"/>
            </w:tcMar>
            <w:vAlign w:val="center"/>
          </w:tcPr>
          <w:p>
            <w:r>
              <w:rPr>
                <w:b/>
                <w:sz w:val="19"/>
              </w:rPr>
              <w:t>Attachment</w:t>
            </w:r>
          </w:p>
        </w:tc>
        <w:tc>
          <w:tcPr>
            <w:tcW w:type="dxa" w:w="2438"/>
            <w:shd w:fill="F7F9FA"/>
            <w:tcMar>
              <w:top w:w="150" w:type="dxa"/>
              <w:start w:w="150" w:type="dxa"/>
              <w:bottom w:w="150" w:type="dxa"/>
              <w:end w:w="150" w:type="dxa"/>
            </w:tcMar>
            <w:vAlign w:val="center"/>
          </w:tcPr>
          <w:p>
            <w:r>
              <w:rPr>
                <w:sz w:val="19"/>
              </w:rPr>
              <w:t>Have I earned enough trust for this to be heard as support?</w:t>
            </w:r>
          </w:p>
        </w:tc>
        <w:tc>
          <w:tcPr>
            <w:tcW w:type="dxa" w:w="2438"/>
            <w:shd w:fill="F7F9FA"/>
            <w:tcMar>
              <w:top w:w="150" w:type="dxa"/>
              <w:start w:w="150" w:type="dxa"/>
              <w:bottom w:w="150" w:type="dxa"/>
              <w:end w:w="150" w:type="dxa"/>
            </w:tcMar>
            <w:vAlign w:val="center"/>
          </w:tcPr>
          <w:p>
            <w:r>
              <w:rPr>
                <w:sz w:val="19"/>
              </w:rPr>
              <w:t>Do you feel I understand the wider context?</w:t>
            </w:r>
          </w:p>
        </w:tc>
        <w:tc>
          <w:tcPr>
            <w:tcW w:type="dxa" w:w="3005"/>
            <w:shd w:fill="F7F9FA"/>
            <w:tcMar>
              <w:top w:w="150" w:type="dxa"/>
              <w:start w:w="150" w:type="dxa"/>
              <w:bottom w:w="150" w:type="dxa"/>
              <w:end w:w="150" w:type="dxa"/>
            </w:tcMar>
            <w:vAlign w:val="center"/>
          </w:tcPr>
          <w:p>
            <w:r>
              <w:rPr>
                <w:sz w:val="19"/>
              </w:rPr>
              <w:t>Do they tense as soon as the subject is raised? Trust must be experienced, not assumed.</w:t>
            </w:r>
          </w:p>
        </w:tc>
      </w:tr>
      <w:tr>
        <w:trPr>
          <w:cantSplit/>
        </w:trPr>
        <w:tc>
          <w:tcPr>
            <w:tcW w:type="dxa" w:w="1417"/>
            <w:tcMar>
              <w:top w:w="150" w:type="dxa"/>
              <w:start w:w="150" w:type="dxa"/>
              <w:bottom w:w="150" w:type="dxa"/>
              <w:end w:w="150" w:type="dxa"/>
            </w:tcMar>
            <w:vAlign w:val="center"/>
          </w:tcPr>
          <w:p>
            <w:r>
              <w:rPr>
                <w:b/>
                <w:sz w:val="19"/>
              </w:rPr>
              <w:t>Explore</w:t>
            </w:r>
          </w:p>
        </w:tc>
        <w:tc>
          <w:tcPr>
            <w:tcW w:type="dxa" w:w="2438"/>
            <w:tcMar>
              <w:top w:w="150" w:type="dxa"/>
              <w:start w:w="150" w:type="dxa"/>
              <w:bottom w:w="150" w:type="dxa"/>
              <w:end w:w="150" w:type="dxa"/>
            </w:tcMar>
            <w:vAlign w:val="center"/>
          </w:tcPr>
          <w:p>
            <w:r>
              <w:rPr>
                <w:sz w:val="19"/>
              </w:rPr>
              <w:t>Have I made real room for a perspective that may differ from mine?</w:t>
            </w:r>
          </w:p>
        </w:tc>
        <w:tc>
          <w:tcPr>
            <w:tcW w:type="dxa" w:w="2438"/>
            <w:tcMar>
              <w:top w:w="150" w:type="dxa"/>
              <w:start w:w="150" w:type="dxa"/>
              <w:bottom w:w="150" w:type="dxa"/>
              <w:end w:w="150" w:type="dxa"/>
            </w:tcMar>
            <w:vAlign w:val="center"/>
          </w:tcPr>
          <w:p>
            <w:r>
              <w:rPr>
                <w:sz w:val="19"/>
              </w:rPr>
              <w:t>What was happening for you in that moment?</w:t>
            </w:r>
          </w:p>
        </w:tc>
        <w:tc>
          <w:tcPr>
            <w:tcW w:type="dxa" w:w="3005"/>
            <w:tcMar>
              <w:top w:w="150" w:type="dxa"/>
              <w:start w:w="150" w:type="dxa"/>
              <w:bottom w:w="150" w:type="dxa"/>
              <w:end w:w="150" w:type="dxa"/>
            </w:tcMar>
            <w:vAlign w:val="center"/>
          </w:tcPr>
          <w:p>
            <w:r>
              <w:rPr>
                <w:sz w:val="19"/>
              </w:rPr>
              <w:t>Am I listening or preparing my response? Are their answers becoming more open and considered?</w:t>
            </w:r>
          </w:p>
        </w:tc>
      </w:tr>
      <w:tr>
        <w:trPr>
          <w:cantSplit/>
        </w:trPr>
        <w:tc>
          <w:tcPr>
            <w:tcW w:type="dxa" w:w="1417"/>
            <w:shd w:fill="F7F9FA"/>
            <w:tcMar>
              <w:top w:w="150" w:type="dxa"/>
              <w:start w:w="150" w:type="dxa"/>
              <w:bottom w:w="150" w:type="dxa"/>
              <w:end w:w="150" w:type="dxa"/>
            </w:tcMar>
            <w:vAlign w:val="center"/>
          </w:tcPr>
          <w:p>
            <w:r>
              <w:rPr>
                <w:b/>
                <w:sz w:val="19"/>
              </w:rPr>
              <w:t>Next</w:t>
            </w:r>
          </w:p>
        </w:tc>
        <w:tc>
          <w:tcPr>
            <w:tcW w:type="dxa" w:w="2438"/>
            <w:shd w:fill="F7F9FA"/>
            <w:tcMar>
              <w:top w:w="150" w:type="dxa"/>
              <w:start w:w="150" w:type="dxa"/>
              <w:bottom w:w="150" w:type="dxa"/>
              <w:end w:w="150" w:type="dxa"/>
            </w:tcMar>
            <w:vAlign w:val="center"/>
          </w:tcPr>
          <w:p>
            <w:r>
              <w:rPr>
                <w:sz w:val="19"/>
              </w:rPr>
              <w:t>Is the next step clear, shared and properly supported?</w:t>
            </w:r>
          </w:p>
        </w:tc>
        <w:tc>
          <w:tcPr>
            <w:tcW w:type="dxa" w:w="2438"/>
            <w:shd w:fill="F7F9FA"/>
            <w:tcMar>
              <w:top w:w="150" w:type="dxa"/>
              <w:start w:w="150" w:type="dxa"/>
              <w:bottom w:w="150" w:type="dxa"/>
              <w:end w:w="150" w:type="dxa"/>
            </w:tcMar>
            <w:vAlign w:val="center"/>
          </w:tcPr>
          <w:p>
            <w:r>
              <w:rPr>
                <w:sz w:val="19"/>
              </w:rPr>
              <w:t>What would help you move this forward, and when should we return to it?</w:t>
            </w:r>
          </w:p>
        </w:tc>
        <w:tc>
          <w:tcPr>
            <w:tcW w:type="dxa" w:w="3005"/>
            <w:shd w:fill="F7F9FA"/>
            <w:tcMar>
              <w:top w:w="150" w:type="dxa"/>
              <w:start w:w="150" w:type="dxa"/>
              <w:bottom w:w="150" w:type="dxa"/>
              <w:end w:w="150" w:type="dxa"/>
            </w:tcMar>
            <w:vAlign w:val="center"/>
          </w:tcPr>
          <w:p>
            <w:r>
              <w:rPr>
                <w:sz w:val="19"/>
              </w:rPr>
              <w:t>Do they leave with direction and support, or with another action they feel they must carry alone?</w:t>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11</w:t>
            </w:r>
          </w:p>
          <w:p>
            <w:pPr>
              <w:pStyle w:val="Title"/>
              <w:spacing w:after="100"/>
            </w:pPr>
            <w:r>
              <w:t>Built Around the Organisation</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A consistent methodology shaped to different people cultures and leadership populations</w:t>
      </w:r>
    </w:p>
    <w:p>
      <w:r>
        <w:t>The SAFE-SEEN framework remains consistent, but the way it is introduced can be adapted to the organisation's size, culture, leadership maturity and immediate challenges. A focused session for a senior team will look different from a wider rollout across a large management population, but both retain the same psychology, language and practical model.</w:t>
      </w:r>
    </w:p>
    <w:p>
      <w:pPr>
        <w:pStyle w:val="Heading2"/>
        <w:keepNext/>
      </w:pPr>
      <w:r>
        <w:t>SAFE-SEEN can support</w:t>
      </w:r>
    </w:p>
    <w:p>
      <w:pPr>
        <w:pStyle w:val="ListBullet"/>
        <w:spacing w:after="80"/>
        <w:ind w:left="454" w:hanging="198"/>
      </w:pPr>
      <w:r>
        <w:t>Senior and executive leadership teams</w:t>
      </w:r>
    </w:p>
    <w:p>
      <w:pPr>
        <w:pStyle w:val="ListBullet"/>
        <w:spacing w:after="80"/>
        <w:ind w:left="454" w:hanging="198"/>
      </w:pPr>
      <w:r>
        <w:t>People managers and operational leaders</w:t>
      </w:r>
    </w:p>
    <w:p>
      <w:pPr>
        <w:pStyle w:val="ListBullet"/>
        <w:spacing w:after="80"/>
        <w:ind w:left="454" w:hanging="198"/>
      </w:pPr>
      <w:r>
        <w:t>HR, people and organisational development teams</w:t>
      </w:r>
    </w:p>
    <w:p>
      <w:pPr>
        <w:pStyle w:val="ListBullet"/>
        <w:spacing w:after="80"/>
        <w:ind w:left="454" w:hanging="198"/>
      </w:pPr>
      <w:r>
        <w:t>Coaches, mentors and internal facilitators</w:t>
      </w:r>
    </w:p>
    <w:p>
      <w:pPr>
        <w:pStyle w:val="ListBullet"/>
        <w:spacing w:after="80"/>
        <w:ind w:left="454" w:hanging="198"/>
      </w:pPr>
      <w:r>
        <w:t>Organisations strengthening psychological safety or feedback culture</w:t>
      </w:r>
    </w:p>
    <w:p>
      <w:pPr>
        <w:pStyle w:val="ListBullet"/>
        <w:spacing w:after="80"/>
        <w:ind w:left="454" w:hanging="198"/>
      </w:pPr>
      <w:r>
        <w:t>Workforces seeking better understanding of ADHD, neurodivergence and rejection sensitivity</w:t>
      </w:r>
    </w:p>
    <w:p>
      <w:pPr>
        <w:pStyle w:val="Heading2"/>
        <w:keepNext/>
      </w:pPr>
      <w:r>
        <w:t>Ways the work can be extended</w:t>
      </w:r>
    </w:p>
    <w:p>
      <w:r>
        <w:t>The core package can stand alone or form part of wider leadership and culture work. Where greater depth or scale is needed, Bridge can support additional leadership cohorts, executive briefings, coaching, controlled internal facilitator development, integration with appraisal and performance processes, or a broader review of the organisational conditions surrounding employee voice and feedback.</w:t>
      </w:r>
    </w:p>
    <w:p>
      <w:r>
        <w:t>The purpose is not to force one delivery format onto every organisation. It is to protect the integrity of the model while ensuring the work reflects the real environment in which leaders and employees will use it.</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12</w:t>
            </w:r>
          </w:p>
          <w:p>
            <w:pPr>
              <w:pStyle w:val="Title"/>
              <w:spacing w:after="100"/>
            </w:pPr>
            <w:r>
              <w:t>The Difference SAFE-SEEN Is Designed to Make</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More thoughtful feedback stronger relationships and greater capacity for growth</w:t>
      </w:r>
    </w:p>
    <w:p>
      <w:r>
        <w:t>SAFE-SEEN brings greater awareness to both sides of a feedback conversation. Leaders learn to look beyond the message they intend to deliver and consider the conditions surrounding it, how it may be received and what the person's response might be telling them. Employees have more opportunity to remain present, explain their experience and take an active part in deciding what happens next.</w:t>
      </w:r>
    </w:p>
    <w:p>
      <w:r>
        <w:t>Used consistently, the model can strengthen trust, improve the quality of feedback and build greater understanding of neurodivergent experiences. Challenge and accountability remain important, but they take place in conditions where people are more able to listen, reflect, contribute and act.</w:t>
      </w:r>
    </w:p>
    <w:p>
      <w:pPr>
        <w:pStyle w:val="Heading2"/>
        <w:keepNext/>
      </w:pPr>
      <w:r>
        <w:t>The movement we are looking for</w:t>
      </w:r>
    </w:p>
    <w:p>
      <w:pPr>
        <w:pStyle w:val="ListBullet"/>
        <w:spacing w:after="80"/>
        <w:ind w:left="454" w:hanging="198"/>
      </w:pPr>
      <w:r>
        <w:t>From defensiveness and withdrawal towards greater openness</w:t>
      </w:r>
    </w:p>
    <w:p>
      <w:pPr>
        <w:pStyle w:val="ListBullet"/>
        <w:spacing w:after="80"/>
        <w:ind w:left="454" w:hanging="198"/>
      </w:pPr>
      <w:r>
        <w:t>From assumptions towards curiosity and shared perspective</w:t>
      </w:r>
    </w:p>
    <w:p>
      <w:pPr>
        <w:pStyle w:val="ListBullet"/>
        <w:spacing w:after="80"/>
        <w:ind w:left="454" w:hanging="198"/>
      </w:pPr>
      <w:r>
        <w:t>From correction being done to someone towards ownership developed with them</w:t>
      </w:r>
    </w:p>
    <w:p>
      <w:pPr>
        <w:pStyle w:val="ListBullet"/>
        <w:spacing w:after="80"/>
        <w:ind w:left="454" w:hanging="198"/>
      </w:pPr>
      <w:r>
        <w:t>From a one-off conversation towards consistent leadership follow-through</w:t>
      </w:r>
    </w:p>
    <w:p>
      <w:pPr>
        <w:pStyle w:val="ListBullet"/>
        <w:spacing w:after="80"/>
        <w:ind w:left="454" w:hanging="198"/>
      </w:pPr>
      <w:r>
        <w:t>From feedback as potential threat towards feedback as a route to learning and growth</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134"/>
      </w:tblGrid>
      <w:tr>
        <w:tc>
          <w:tcPr>
            <w:tcW w:type="dxa" w:w="4819"/>
            <w:tcMar>
              <w:top w:w="0" w:type="dxa"/>
              <w:start w:w="0" w:type="dxa"/>
              <w:bottom w:w="0" w:type="dxa"/>
              <w:end w:w="100" w:type="dxa"/>
            </w:tcMar>
          </w:tcPr>
          <w:p>
            <w:pPr>
              <w:spacing w:after="40"/>
            </w:pPr>
            <w:r>
              <w:rPr>
                <w:b/>
                <w:color w:val="EC0044"/>
                <w:sz w:val="18"/>
              </w:rPr>
              <w:t>SECTION 13</w:t>
            </w:r>
          </w:p>
          <w:p>
            <w:pPr>
              <w:pStyle w:val="Title"/>
              <w:spacing w:after="100"/>
            </w:pPr>
            <w:r>
              <w:t>Taking the Next Step</w:t>
            </w:r>
          </w:p>
        </w:tc>
        <w:tc>
          <w:tcPr>
            <w:tcW w:type="dxa" w:w="4819"/>
            <w:tcMar>
              <w:top w:w="0" w:type="dxa"/>
              <w:start w:w="0" w:type="dxa"/>
              <w:bottom w:w="0" w:type="dxa"/>
              <w:end w:w="0" w:type="dxa"/>
            </w:tcMar>
            <w:shd w:fill="FDEAF0"/>
          </w:tcPr>
          <w:p>
            <w:pPr>
              <w:spacing w:after="0"/>
              <w:jc w:val="center"/>
            </w:pPr>
          </w:p>
        </w:tc>
      </w:tr>
    </w:tbl>
    <w:p>
      <w:pPr>
        <w:spacing w:after="260"/>
      </w:pPr>
      <w:r>
        <w:rPr>
          <w:rFonts w:ascii="Georgia" w:hAnsi="Georgia"/>
          <w:i/>
          <w:color w:val="00758D"/>
          <w:sz w:val="24"/>
        </w:rPr>
        <w:t>Shape the right starting point for your leaders and organisation</w:t>
      </w:r>
    </w:p>
    <w:p>
      <w:r>
        <w:t>Bridge will work with you to understand the leadership context, identify where SAFE-SEEN can make the greatest difference and shape the right starting point. That may be a focused leadership session, a wider management rollout or part of a broader piece of culture and employee engagement work.</w:t>
      </w:r>
    </w:p>
    <w:p>
      <w:r>
        <w:t>The first conversation allows us to understand the population, the current feedback environment and the situations leaders are finding most difficult. From there, the learning, examples and implementation support can be shaped around the organisation while preserving the integrity of the SAFE-SEEN methodology.</w:t>
      </w:r>
    </w:p>
    <w:p>
      <w:pPr>
        <w:spacing w:before="240" w:after="400"/>
      </w:pPr>
      <w:r>
        <w:rPr>
          <w:b/>
          <w:color w:val="00ACC8"/>
          <w:sz w:val="34"/>
        </w:rPr>
        <w:t>Talk to Bridge about bringing SAFE-SEEN into your organisation</w:t>
      </w:r>
    </w:p>
    <w:p>
      <w:pPr>
        <w:pStyle w:val="Heading2"/>
        <w:keepNext/>
      </w:pPr>
      <w:r>
        <w:t>About Bridge</w:t>
      </w:r>
    </w:p>
    <w:p>
      <w:r>
        <w:t>Bridge is a leadership and employee engagement consultancy specialising in the human side of culture: the part that engagement surveys do not always capture and training programmes rarely reach. We work with leaders and organisations to build environments where people feel safe to show up, speak up and grow.</w:t>
      </w:r>
    </w:p>
    <w:p>
      <w:r>
        <w:t>SAFE-SEEN is one of a suite of Built by Bridge approaches that turns behavioural insight and practical experience into clear, structured ways of working with people and organisations.</w:t>
      </w:r>
    </w:p>
    <w:p>
      <w:r>
        <w:rPr>
          <w:b/>
          <w:color w:val="EC0044"/>
          <w:sz w:val="26"/>
        </w:rPr>
        <w:t>insidebridge.com</w:t>
      </w:r>
    </w:p>
    <w:sectPr w:rsidR="00FC693F" w:rsidRPr="0006063C" w:rsidSect="00034616">
      <w:headerReference w:type="default" r:id="rId9"/>
      <w:headerReference w:type="first" r:id="rId10"/>
      <w:footerReference w:type="default" r:id="rId11"/>
      <w:footerReference w:type="first" r:id="rId12"/>
      <w:pgSz w:w="11906" w:h="16838"/>
      <w:pgMar w:top="935" w:right="1134" w:bottom="935"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203"/>
      <w:gridCol w:w="3203"/>
      <w:gridCol w:w="3203"/>
    </w:tblGrid>
    <w:tr>
      <w:trPr>
        <w:trHeight w:val="40" w:hRule="exact"/>
      </w:trPr>
      <w:tc>
        <w:tcPr>
          <w:tcW w:type="dxa" w:w="3203"/>
          <w:shd w:fill="FFEB00"/>
          <w:tcMar>
            <w:top w:w="0" w:type="dxa"/>
            <w:start w:w="0" w:type="dxa"/>
            <w:bottom w:w="0" w:type="dxa"/>
            <w:end w:w="0" w:type="dxa"/>
          </w:tcMar>
        </w:tcPr>
        <w:p>
          <w:pPr>
            <w:spacing w:after="0"/>
          </w:pPr>
        </w:p>
      </w:tc>
      <w:tc>
        <w:tcPr>
          <w:tcW w:type="dxa" w:w="3203"/>
          <w:shd w:fill="EC0044"/>
          <w:tcMar>
            <w:top w:w="0" w:type="dxa"/>
            <w:start w:w="0" w:type="dxa"/>
            <w:bottom w:w="0" w:type="dxa"/>
            <w:end w:w="0" w:type="dxa"/>
          </w:tcMar>
        </w:tcPr>
        <w:p>
          <w:pPr>
            <w:spacing w:after="0"/>
          </w:pPr>
        </w:p>
      </w:tc>
      <w:tc>
        <w:tcPr>
          <w:tcW w:type="dxa" w:w="3203"/>
          <w:shd w:fill="00ACC8"/>
          <w:tcMar>
            <w:top w:w="0" w:type="dxa"/>
            <w:start w:w="0" w:type="dxa"/>
            <w:bottom w:w="0" w:type="dxa"/>
            <w:end w:w="0" w:type="dxa"/>
          </w:tcMar>
        </w:tcPr>
        <w:p>
          <w:pPr>
            <w:spacing w:after="0"/>
          </w:pP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164"/>
      <w:gridCol w:w="1474"/>
    </w:tblGrid>
    <w:tr>
      <w:tc>
        <w:tcPr>
          <w:tcW w:type="dxa" w:w="4819"/>
        </w:tcPr>
        <w:p>
          <w:r>
            <w:rPr>
              <w:b/>
              <w:color w:val="667780"/>
              <w:sz w:val="16"/>
            </w:rPr>
            <w:t>SAFE-SEEN  |  BUILT BY BRIDGE</w:t>
          </w:r>
        </w:p>
      </w:tc>
      <w:tc>
        <w:tcPr>
          <w:tcW w:type="dxa" w:w="4819"/>
        </w:tcPr>
        <w:p>
          <w:pPr>
            <w:jc w:val="right"/>
          </w:pPr>
          <w:r>
            <w:rPr>
              <w:color w:val="00ACC8"/>
              <w:sz w:val="16"/>
            </w:rPr>
            <w:fldChar w:fldCharType="begin"/>
            <w:instrText xml:space="preserve"> PAGE </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pPr>
    <w:r>
      <w:drawing>
        <wp:inline xmlns:a="http://schemas.openxmlformats.org/drawingml/2006/main" xmlns:pic="http://schemas.openxmlformats.org/drawingml/2006/picture">
          <wp:extent cx="917999" cy="304384"/>
          <wp:docPr id="1" name="Picture 1"/>
          <wp:cNvGraphicFramePr>
            <a:graphicFrameLocks noChangeAspect="1"/>
          </wp:cNvGraphicFramePr>
          <a:graphic>
            <a:graphicData uri="http://schemas.openxmlformats.org/drawingml/2006/picture">
              <pic:pic>
                <pic:nvPicPr>
                  <pic:cNvPr id="0" name="bridge_logo_primary.png"/>
                  <pic:cNvPicPr/>
                </pic:nvPicPr>
                <pic:blipFill>
                  <a:blip r:embed="rId1"/>
                  <a:stretch>
                    <a:fillRect/>
                  </a:stretch>
                </pic:blipFill>
                <pic:spPr>
                  <a:xfrm>
                    <a:off x="0" y="0"/>
                    <a:ext cx="917999" cy="304384"/>
                  </a:xfrm>
                  <a:prstGeom prst="rect"/>
                </pic:spPr>
              </pic:pic>
            </a:graphicData>
          </a:graphic>
        </wp:inline>
      </w:drawing>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203"/>
      <w:gridCol w:w="3203"/>
      <w:gridCol w:w="3203"/>
    </w:tblGrid>
    <w:tr>
      <w:trPr>
        <w:trHeight w:val="62" w:hRule="exact"/>
      </w:trPr>
      <w:tc>
        <w:tcPr>
          <w:tcW w:type="dxa" w:w="3203"/>
          <w:shd w:fill="FFEB00"/>
          <w:tcMar>
            <w:top w:w="0" w:type="dxa"/>
            <w:start w:w="0" w:type="dxa"/>
            <w:bottom w:w="0" w:type="dxa"/>
            <w:end w:w="0" w:type="dxa"/>
          </w:tcMar>
        </w:tcPr>
        <w:p>
          <w:pPr>
            <w:spacing w:after="0"/>
          </w:pPr>
        </w:p>
      </w:tc>
      <w:tc>
        <w:tcPr>
          <w:tcW w:type="dxa" w:w="3203"/>
          <w:shd w:fill="EC0044"/>
          <w:tcMar>
            <w:top w:w="0" w:type="dxa"/>
            <w:start w:w="0" w:type="dxa"/>
            <w:bottom w:w="0" w:type="dxa"/>
            <w:end w:w="0" w:type="dxa"/>
          </w:tcMar>
        </w:tcPr>
        <w:p>
          <w:pPr>
            <w:spacing w:after="0"/>
          </w:pPr>
        </w:p>
      </w:tc>
      <w:tc>
        <w:tcPr>
          <w:tcW w:type="dxa" w:w="3203"/>
          <w:shd w:fill="00ACC8"/>
          <w:tcMar>
            <w:top w:w="0" w:type="dxa"/>
            <w:start w:w="0" w:type="dxa"/>
            <w:bottom w:w="0" w:type="dxa"/>
            <w:end w:w="0" w:type="dxa"/>
          </w:tcMar>
        </w:tcPr>
        <w:p>
          <w:pPr>
            <w:spacing w:after="0"/>
          </w:pP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26215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26215F"/>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SAFE-SEEN Full Product Brochure</dc:title>
  <dc:subject>Built by Bridge SAFE-SEEN product brochure</dc:subject>
  <dc:creator>Bridge Training and Events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